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eastAsia="Arial" w:ascii="Times New Roman" w:hAnsi="Times New Roman"/>
          <w:sz w:val="20"/>
          <w:szCs w:val="20"/>
        </w:rPr>
        <w:t xml:space="preserve">Oznaczenie sprawy:12/ZP/2019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 xml:space="preserve">               </w:t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sz w:val="20"/>
          <w:szCs w:val="20"/>
        </w:rPr>
        <w:t>Załącznik  Nr 2  do SIWZ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</w:t>
        <w:tab/>
        <w:tab/>
        <w:tab/>
        <w:tab/>
        <w:t xml:space="preserve">                             </w:t>
        <w:tab/>
        <w:tab/>
        <w:tab/>
        <w:tab/>
        <w:tab/>
        <w:tab/>
        <w:t xml:space="preserve">              .............................................    </w:t>
        <w:tab/>
        <w:t xml:space="preserve">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Arial"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pieczęć  Wykonawcy                                                                                                   </w:t>
        <w:tab/>
        <w:tab/>
        <w:tab/>
        <w:tab/>
        <w:tab/>
        <w:tab/>
        <w:tab/>
        <w:t xml:space="preserve">        miejscowość, data</w:t>
      </w:r>
    </w:p>
    <w:p>
      <w:pPr>
        <w:pStyle w:val="Normal"/>
        <w:widowControl w:val="false"/>
        <w:suppressAutoHyphens w:val="true"/>
        <w:spacing w:lineRule="atLeast" w:line="100" w:before="0" w:after="0"/>
        <w:ind w:left="709" w:hanging="709"/>
        <w:jc w:val="center"/>
        <w:textAlignment w:val="baseline"/>
        <w:rPr>
          <w:rFonts w:ascii="Times New Roman" w:hAnsi="Times New Roman" w:eastAsia="Andale Sans UI"/>
          <w:b/>
          <w:b/>
          <w:bCs/>
          <w:color w:val="000000"/>
          <w:lang w:val="de-DE" w:eastAsia="ar-SA" w:bidi="fa-IR"/>
        </w:rPr>
      </w:pPr>
      <w:r>
        <w:rPr>
          <w:rFonts w:eastAsia="Andale Sans UI" w:ascii="Times New Roman" w:hAnsi="Times New Roman"/>
          <w:b/>
          <w:bCs/>
          <w:color w:val="000000"/>
          <w:lang w:val="de-DE" w:eastAsia="ar-SA" w:bidi="fa-IR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ind w:left="709" w:hanging="709"/>
        <w:jc w:val="center"/>
        <w:textAlignment w:val="baseline"/>
        <w:rPr>
          <w:rFonts w:ascii="Times New Roman" w:hAnsi="Times New Roman" w:eastAsia="Andale Sans UI"/>
          <w:b/>
          <w:b/>
          <w:bCs/>
          <w:color w:val="000000"/>
          <w:lang w:val="de-DE" w:eastAsia="ar-SA" w:bidi="fa-IR"/>
        </w:rPr>
      </w:pPr>
      <w:r>
        <w:rPr>
          <w:rFonts w:eastAsia="Andale Sans UI" w:ascii="Times New Roman" w:hAnsi="Times New Roman"/>
          <w:b/>
          <w:bCs/>
          <w:color w:val="000000"/>
          <w:lang w:val="de-DE" w:eastAsia="ar-SA" w:bidi="fa-IR"/>
        </w:rPr>
        <w:t xml:space="preserve">OPIS PRZEDMIOTU ZAMÓWIENIA </w:t>
        <w:tab/>
        <w:tab/>
      </w:r>
    </w:p>
    <w:p>
      <w:pPr>
        <w:pStyle w:val="Normal"/>
        <w:widowControl w:val="false"/>
        <w:suppressAutoHyphens w:val="true"/>
        <w:spacing w:lineRule="atLeast" w:line="100" w:before="0" w:after="0"/>
        <w:ind w:left="709" w:hanging="709"/>
        <w:jc w:val="center"/>
        <w:textAlignment w:val="baseline"/>
        <w:rPr>
          <w:rFonts w:ascii="Times New Roman" w:hAnsi="Times New Roman" w:eastAsia="Andale Sans UI"/>
          <w:bCs/>
          <w:color w:val="000000"/>
          <w:lang w:val="de-DE" w:eastAsia="ar-SA" w:bidi="fa-IR"/>
        </w:rPr>
      </w:pPr>
      <w:r>
        <w:rPr>
          <w:rFonts w:eastAsia="Andale Sans UI" w:ascii="Times New Roman" w:hAnsi="Times New Roman"/>
          <w:b/>
          <w:bCs/>
          <w:color w:val="000000"/>
          <w:lang w:val="de-DE" w:eastAsia="ar-SA" w:bidi="fa-IR"/>
        </w:rPr>
        <w:t>,,</w:t>
      </w:r>
      <w:r>
        <w:rPr>
          <w:rFonts w:eastAsia="Andale Sans UI" w:ascii="Times New Roman" w:hAnsi="Times New Roman"/>
          <w:bCs/>
          <w:color w:val="000000"/>
          <w:lang w:val="de-DE" w:eastAsia="ar-SA" w:bidi="fa-IR"/>
        </w:rPr>
        <w:t xml:space="preserve">WYMAGANE GRANICZNE WARUNKI TECHNICZNE DLA SAMOCHODU BAZOWEGO, </w:t>
      </w:r>
    </w:p>
    <w:p>
      <w:pPr>
        <w:pStyle w:val="Normal"/>
        <w:widowControl w:val="false"/>
        <w:suppressAutoHyphens w:val="true"/>
        <w:spacing w:lineRule="atLeast" w:line="100" w:before="0" w:after="0"/>
        <w:ind w:left="709" w:hanging="709"/>
        <w:jc w:val="center"/>
        <w:textAlignment w:val="baseline"/>
        <w:rPr/>
      </w:pPr>
      <w:r>
        <w:rPr>
          <w:rFonts w:eastAsia="Andale Sans UI" w:ascii="Times New Roman" w:hAnsi="Times New Roman"/>
          <w:bCs/>
          <w:color w:val="000000"/>
          <w:lang w:val="de-DE" w:eastAsia="ar-SA" w:bidi="fa-IR"/>
        </w:rPr>
        <w:t>WYPOSAŻENIA MEDYCZNEGO ORAZ PRZEDZIAŁU MEDYCZNEGO AMBULANSU SANITARNEGO TYPU C</w:t>
      </w:r>
      <w:r>
        <w:rPr>
          <w:rFonts w:eastAsia="Andale Sans UI" w:ascii="Times New Roman" w:hAnsi="Times New Roman"/>
          <w:b/>
          <w:bCs/>
          <w:color w:val="000000"/>
          <w:lang w:val="de-DE" w:eastAsia="ar-SA" w:bidi="fa-IR"/>
        </w:rPr>
        <w:t xml:space="preserve">  </w:t>
      </w:r>
    </w:p>
    <w:p>
      <w:pPr>
        <w:pStyle w:val="Normal"/>
        <w:widowControl w:val="false"/>
        <w:suppressAutoHyphens w:val="true"/>
        <w:spacing w:lineRule="auto" w:line="288" w:before="0" w:after="0"/>
        <w:textAlignment w:val="baseline"/>
        <w:rPr>
          <w:rFonts w:ascii="Times New Roman" w:hAnsi="Times New Roman" w:eastAsia="Andale Sans UI"/>
          <w:b/>
          <w:b/>
          <w:bCs/>
          <w:i/>
          <w:i/>
          <w:iCs/>
          <w:color w:val="000000"/>
          <w:lang w:val="de-DE" w:eastAsia="ar-SA" w:bidi="fa-IR"/>
        </w:rPr>
      </w:pPr>
      <w:r>
        <w:rPr>
          <w:rFonts w:eastAsia="Andale Sans UI" w:ascii="Times New Roman" w:hAnsi="Times New Roman"/>
          <w:b/>
          <w:bCs/>
          <w:i/>
          <w:iCs/>
          <w:color w:val="000000"/>
          <w:lang w:val="de-DE" w:eastAsia="ar-SA" w:bidi="fa-IR"/>
        </w:rPr>
      </w:r>
    </w:p>
    <w:p>
      <w:pPr>
        <w:pStyle w:val="Normal"/>
        <w:widowControl w:val="false"/>
        <w:suppressAutoHyphens w:val="true"/>
        <w:spacing w:lineRule="auto" w:line="288" w:before="0" w:after="0"/>
        <w:textAlignment w:val="baseline"/>
        <w:rPr>
          <w:rFonts w:ascii="Times New Roman" w:hAnsi="Times New Roman" w:eastAsia="Andale Sans UI"/>
          <w:color w:val="000000"/>
          <w:lang w:val="de-DE" w:eastAsia="ar-SA" w:bidi="fa-IR"/>
        </w:rPr>
      </w:pPr>
      <w:r>
        <w:rPr>
          <w:rFonts w:eastAsia="Andale Sans UI" w:ascii="Times New Roman" w:hAnsi="Times New Roman"/>
          <w:b/>
          <w:color w:val="000000"/>
          <w:lang w:val="pl-PL" w:eastAsia="ar-SA" w:bidi="fa-IR"/>
        </w:rPr>
        <w:t>Pojazd kompletny,</w:t>
      </w:r>
      <w:r>
        <w:rPr>
          <w:rFonts w:eastAsia="Andale Sans UI" w:ascii="Times New Roman" w:hAnsi="Times New Roman"/>
          <w:color w:val="000000"/>
          <w:lang w:val="pl-PL" w:eastAsia="ar-SA" w:bidi="fa-IR"/>
        </w:rPr>
        <w:t xml:space="preserve"> Marka/Typ/Oznaczenie handlowe (zgodne ze świadectwem homologacji):</w:t>
      </w:r>
      <w:r>
        <w:rPr>
          <w:rFonts w:ascii="Times New Roman" w:hAnsi="Times New Roman"/>
          <w:lang w:val="pl-PL"/>
        </w:rPr>
        <w:t xml:space="preserve"> …………………………………….</w:t>
      </w:r>
    </w:p>
    <w:p>
      <w:pPr>
        <w:pStyle w:val="Normal"/>
        <w:widowControl w:val="false"/>
        <w:suppressAutoHyphens w:val="true"/>
        <w:spacing w:lineRule="auto" w:line="288" w:before="0" w:after="0"/>
        <w:textAlignment w:val="baseline"/>
        <w:rPr>
          <w:rFonts w:ascii="Times New Roman" w:hAnsi="Times New Roman" w:eastAsia="Andale Sans UI"/>
          <w:color w:val="000000"/>
          <w:lang w:val="de-DE" w:eastAsia="ar-SA" w:bidi="fa-IR"/>
        </w:rPr>
      </w:pPr>
      <w:r>
        <w:rPr>
          <w:rFonts w:eastAsia="Andale Sans UI" w:ascii="Times New Roman" w:hAnsi="Times New Roman"/>
          <w:color w:val="000000"/>
          <w:lang w:val="pl-PL" w:eastAsia="ar-SA" w:bidi="fa-IR"/>
        </w:rPr>
        <w:t>Rok produkcji 2019r. (podać): …………………………….</w:t>
      </w:r>
    </w:p>
    <w:p>
      <w:pPr>
        <w:pStyle w:val="Normal"/>
        <w:widowControl w:val="false"/>
        <w:suppressLineNumbers/>
        <w:suppressAutoHyphens w:val="true"/>
        <w:spacing w:lineRule="auto" w:line="288" w:before="0" w:after="0"/>
        <w:textAlignment w:val="baseline"/>
        <w:rPr>
          <w:rFonts w:ascii="Times New Roman" w:hAnsi="Times New Roman" w:eastAsia="Andale Sans UI"/>
          <w:color w:val="000000"/>
          <w:lang w:val="de-DE" w:eastAsia="ar-SA" w:bidi="fa-IR"/>
        </w:rPr>
      </w:pPr>
      <w:r>
        <w:rPr>
          <w:rFonts w:eastAsia="Andale Sans UI" w:ascii="Times New Roman" w:hAnsi="Times New Roman"/>
          <w:color w:val="000000"/>
          <w:lang w:val="pl-PL" w:eastAsia="ar-SA" w:bidi="fa-IR"/>
        </w:rPr>
        <w:t>Nazwa i adres producenta pojazdu kompletnego:</w:t>
      </w:r>
      <w:r>
        <w:rPr>
          <w:rFonts w:ascii="Times New Roman" w:hAnsi="Times New Roman"/>
          <w:lang w:val="pl-PL"/>
        </w:rPr>
        <w:t xml:space="preserve"> </w:t>
      </w:r>
      <w:r>
        <w:rPr>
          <w:rFonts w:eastAsia="Andale Sans UI" w:ascii="Times New Roman" w:hAnsi="Times New Roman"/>
          <w:color w:val="000000"/>
          <w:lang w:val="pl-PL" w:eastAsia="ar-SA" w:bidi="fa-IR"/>
        </w:rPr>
        <w:t xml:space="preserve">…………………………….. </w:t>
      </w:r>
    </w:p>
    <w:p>
      <w:pPr>
        <w:pStyle w:val="Normal"/>
        <w:widowControl w:val="false"/>
        <w:suppressLineNumbers/>
        <w:suppressAutoHyphens w:val="true"/>
        <w:spacing w:lineRule="auto" w:line="288" w:before="0" w:after="0"/>
        <w:textAlignment w:val="baseline"/>
        <w:rPr>
          <w:rFonts w:ascii="Times New Roman" w:hAnsi="Times New Roman" w:eastAsia="Andale Sans UI"/>
          <w:color w:val="000000"/>
          <w:lang w:val="de-DE" w:eastAsia="ar-SA" w:bidi="fa-IR"/>
        </w:rPr>
      </w:pPr>
      <w:r>
        <w:rPr>
          <w:rFonts w:eastAsia="Andale Sans UI" w:ascii="Times New Roman" w:hAnsi="Times New Roman"/>
          <w:b/>
          <w:color w:val="000000"/>
          <w:lang w:val="pl-PL" w:eastAsia="ar-SA" w:bidi="fa-IR"/>
        </w:rPr>
        <w:t>Pojazd skompletowany (specjalny sanitarny):</w:t>
      </w:r>
      <w:r>
        <w:rPr>
          <w:rFonts w:eastAsia="Andale Sans UI" w:ascii="Times New Roman" w:hAnsi="Times New Roman"/>
          <w:color w:val="000000"/>
          <w:lang w:val="pl-PL" w:eastAsia="ar-SA" w:bidi="fa-IR"/>
        </w:rPr>
        <w:t xml:space="preserve"> Marka/Typ/Oznaczenie handlowe (zgodne ze świadectwem homologacji):</w:t>
      </w:r>
      <w:r>
        <w:rPr>
          <w:rFonts w:ascii="Times New Roman" w:hAnsi="Times New Roman"/>
          <w:lang w:val="pl-PL"/>
        </w:rPr>
        <w:t xml:space="preserve"> </w:t>
      </w:r>
      <w:r>
        <w:rPr>
          <w:rFonts w:eastAsia="Andale Sans UI" w:ascii="Times New Roman" w:hAnsi="Times New Roman"/>
          <w:color w:val="000000"/>
          <w:lang w:val="pl-PL" w:eastAsia="ar-SA" w:bidi="fa-IR"/>
        </w:rPr>
        <w:t>………………..</w:t>
      </w:r>
    </w:p>
    <w:p>
      <w:pPr>
        <w:pStyle w:val="Normal"/>
        <w:widowControl w:val="false"/>
        <w:suppressAutoHyphens w:val="true"/>
        <w:spacing w:lineRule="auto" w:line="288" w:before="0" w:after="0"/>
        <w:textAlignment w:val="baseline"/>
        <w:rPr>
          <w:rFonts w:ascii="Times New Roman" w:hAnsi="Times New Roman" w:eastAsia="Andale Sans UI"/>
          <w:color w:val="000000"/>
          <w:lang w:val="de-DE" w:eastAsia="ar-SA" w:bidi="fa-IR"/>
        </w:rPr>
      </w:pPr>
      <w:r>
        <w:rPr>
          <w:rFonts w:eastAsia="Andale Sans UI" w:ascii="Times New Roman" w:hAnsi="Times New Roman"/>
          <w:color w:val="000000"/>
          <w:lang w:val="pl-PL" w:eastAsia="ar-SA" w:bidi="fa-IR"/>
        </w:rPr>
        <w:t>Rok produkcji 2019r. (podać): …………………</w:t>
      </w:r>
    </w:p>
    <w:p>
      <w:pPr>
        <w:pStyle w:val="Normal"/>
        <w:widowControl w:val="false"/>
        <w:suppressAutoHyphens w:val="true"/>
        <w:spacing w:lineRule="auto" w:line="288" w:before="0" w:after="0"/>
        <w:textAlignment w:val="baseline"/>
        <w:rPr>
          <w:rFonts w:ascii="Times New Roman" w:hAnsi="Times New Roman" w:eastAsia="Andale Sans UI"/>
          <w:color w:val="000000"/>
          <w:sz w:val="24"/>
          <w:szCs w:val="24"/>
          <w:lang w:val="de-DE" w:eastAsia="ar-SA" w:bidi="fa-IR"/>
        </w:rPr>
      </w:pPr>
      <w:r>
        <w:rPr>
          <w:rFonts w:eastAsia="Andale Sans UI" w:ascii="Times New Roman" w:hAnsi="Times New Roman"/>
          <w:color w:val="000000"/>
          <w:lang w:val="pl-PL" w:eastAsia="ar-SA" w:bidi="fa-IR"/>
        </w:rPr>
        <w:t>Nazwa i adres producenta pojazdu skompletowanego:</w:t>
      </w:r>
      <w:r>
        <w:rPr>
          <w:rFonts w:ascii="Times New Roman" w:hAnsi="Times New Roman"/>
          <w:lang w:val="pl-PL"/>
        </w:rPr>
        <w:t xml:space="preserve"> </w:t>
      </w:r>
      <w:r>
        <w:rPr>
          <w:rFonts w:eastAsia="Andale Sans UI" w:ascii="Times New Roman" w:hAnsi="Times New Roman"/>
          <w:color w:val="000000"/>
          <w:lang w:val="pl-PL" w:eastAsia="ar-SA" w:bidi="fa-IR"/>
        </w:rPr>
        <w:t>……………………………………………………………………………………..</w:t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textAlignment w:val="baseline"/>
        <w:rPr>
          <w:rFonts w:ascii="Times New Roman" w:hAnsi="Times New Roman" w:eastAsia="Andale Sans UI"/>
          <w:sz w:val="20"/>
          <w:szCs w:val="20"/>
          <w:lang w:val="pl-PL" w:eastAsia="ar-SA" w:bidi="fa-IR"/>
        </w:rPr>
      </w:pPr>
      <w:r>
        <w:rPr>
          <w:rFonts w:eastAsia="Andale Sans UI" w:ascii="Times New Roman" w:hAnsi="Times New Roman"/>
          <w:sz w:val="20"/>
          <w:szCs w:val="20"/>
          <w:lang w:val="pl-PL" w:eastAsia="ar-SA" w:bidi="fa-IR"/>
        </w:rPr>
      </w:r>
    </w:p>
    <w:tbl>
      <w:tblPr>
        <w:tblW w:w="15030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1" w:noVBand="0" w:lastRow="0" w:firstColumn="1" w:lastColumn="0" w:noHBand="0" w:val="00a0"/>
      </w:tblPr>
      <w:tblGrid>
        <w:gridCol w:w="577"/>
        <w:gridCol w:w="6237"/>
        <w:gridCol w:w="3161"/>
        <w:gridCol w:w="5054"/>
      </w:tblGrid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 xml:space="preserve">Wymagane warunki (parametry) dla samochodu bazowego,                                    zabudowy medycznej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warunek graniczny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parametry oceniane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Oferowane przez Wykonawcę parametry dla samochodu bazowego, zabudowy medycznej.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podać, opisać, TAK/NIE </w:t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Cs/>
                <w:sz w:val="20"/>
                <w:szCs w:val="20"/>
                <w:lang w:val="pl-PL" w:eastAsia="ar-SA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Cs/>
                <w:sz w:val="20"/>
                <w:szCs w:val="20"/>
                <w:lang w:val="pl-PL" w:eastAsia="ar-SA" w:bidi="fa-IR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-10" w:firstLine="1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Cs/>
                <w:sz w:val="20"/>
                <w:szCs w:val="20"/>
                <w:lang w:val="pl-PL" w:eastAsia="ar-SA" w:bidi="fa-IR"/>
              </w:rPr>
              <w:t>3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</w:t>
            </w:r>
          </w:p>
        </w:tc>
      </w:tr>
      <w:tr>
        <w:trPr>
          <w:trHeight w:val="649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I.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NADWOZIE</w:t>
            </w:r>
          </w:p>
        </w:tc>
      </w:tr>
      <w:tr>
        <w:trPr>
          <w:trHeight w:val="268" w:hRule="atLeast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 xml:space="preserve">Pojazd kompletny (bazowy) typu furgon, z nadwoziem samonośnym, zabezpieczonym antykorozyjnie, z izolacją termiczną i akustyczną obejmującą ściany oraz sufit zapobiegającą skraplaniu się pary wodnej. Ściany i sufit wyłożone łatwo zmywalnymi szczelnymi elementami                z tworzywa sztucznego w kolorze białym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Ściany i sufit wyłożone łatwo zmywalnymi szczelnymi tłoczonymi elementami   z tworzywa sztucznego w kolorze białym obejmującymi całe powierzchnie łącznie  z pośrednimi i końcowymi słupkami nadwozia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DMC do 3,5t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Częściowo przeszklony (wszystkie szyby termoizolacyjne) z możliwością ewakuacji  pacjenta i person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elu przez szybę drzwi tylnych i bocznych. Dopuszcza się jako wyposażenie dodatkowe elektryczne ogrzewanie szyby przedniej. Półki nad przednią szybą.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Kabina kierowcy dwuosobowa zapewniająca miejsce pracy kierowcy,                                 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fotel kierowcy i pasażera, z pełną regulacją: regulacja wzdłużna, regulacja oparcia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. Lampki do czytania dla kierowcy i pasażera.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kabinie kierowcy zamontowany uchwyt do stacji dokującej ADK07F do tabletu Twinhead Durabook R-11 z wykorzystaniem fabrycznych perforacji kabiny kierowcy, umożliwiający zamontowanie zestawu w sposób nieograniczający korzystania z panelu sterującego umieszczonego w środkowej części kokpitu i zapewniający odpowiednią czytelność i obsługę tabletu przez kierowcę jak i osobę siedzącą na miejscu pasażera. Zamawiający nie dopuszcza jakiejkolwiek innych niż fabryczne perforacji elementów w kabinie kierowcy.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Instalacja anten zewnętrznych GPS/GSM do stacji dokującej.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Zainstalowany i uruchomiony moduł lokalizacji pojazdu wraz z anteną zewnętrzną GPS/GSM współpracujący z systemem SWDPRM o parametrach min.  FM3300 Teltonika lub równoważny.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right="141" w:hanging="284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W komorze silnika złącze rozruchowe (dodatkowy biegun dodatni)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right="141" w:hanging="284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73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 xml:space="preserve">Furgon - lakier w kolorze białym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Nadwozie przystosowane do przewozu min. 4 osób w pozycji siedzącej                              oraz 1 osoba  w pozycji leżącej na noszach.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Wysokość przedziału medycznego min. 1,80 m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Długość przedziału medycznego min. 3,20m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TAK 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Szerokość przedziału medycznego min. 1,70m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Drzwi tylne przeszklone otwierane na boki do kąta min. 250 stopni, 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 xml:space="preserve">wyposażone  w ograniczniki położenia drzwi,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Drzwi boczne prawe przeszklone, przesuwane, z otwieraną  szybą. </w:t>
              <w:br/>
              <w:t>Z elektrycznym wspomaganiem ich domykania (rozwiązanie fabryczne objęte gwarancją pojazdu bazowego).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Uchwyt sufitowy dla pasażera w kabinie kierowcy.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Zewnętrzne okna przedziału medycznego pokryte w 2/3 wysokości folią półprzeźroczystą.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i/>
                <w:i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Przegroda oddzielająca kabinę kierowcy od przedziału medycznego wyposażona w otwierane drzwi o wysokości min. 1,80 m.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TAK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i/>
                <w:i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i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Drzwi boczne lewe przesuwane do tyłu, bez szyby.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Z elektrycznym wspomaganiem ich domykania (rozwiązanie fabryczne objęte gwarancją pojazdu bazowego).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Zewnętrzny schowek za lewymi drzwiami przesuwnymi wyposażony w: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- 2 szt. butli tlenowych 10l z reduktorami,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mocowanie krzesełka kardiologicznego z systemem płozowym,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mocowanie noszy podbierakowych,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mocowanie deski ortopedycznej dla dorosłych,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mocowanie deski ortopedycznej dla dzieci,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mocowanie materaca próżniowego,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mocowanie kamizelki unieruchamiającej typu KED,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mocowanie 2 kasków ochronnych,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mocowanie torby opatrunkowej z dostępem również z przedziału medycznego,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- mocowanie pojemnika reimplantacyjnego 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miejsce dla pasów do desek, krzesełka i noszy oraz systemów unieruchamiających głowę,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Poduszka powietrzna dla kierowcy i pasażera, dwie poduszki boczne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Stopień wejściowy tylny  zintegrowany ze zderzakiem pokryty wykładziną antypoślizgową,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Stopień wejściowy do przedziału medycznego wewnętrzny tzn. nie wystający poza obrys nadwozia i nie zmniejszający prześwitu pojazdu, pokryty wykładziną antypoślizgową.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Elektrycznie otwierane szyby boczne w kabinie kierowcy.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Światła boczne pozycyjne zwiększające zauważalność ambulansu w warunkach ograniczonej widoczności.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19.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Dzielone wsteczne lusterka zewnętrzne elektrycznie podgrzewane i regulowane.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20.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Zestaw narzędzi z podnośnikiem, zestaw naprawczy do uszkodzonych opon.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Wylot spalin umiejscowiony tak, aby zapobiec możliwości dostawania się ich do przedziału medycznego zwłaszcza przez najczęściej otwierane drzwi boczne prawe.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Zbiornik paliwa o pojemności min. 70l.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Zbiornik płynu AdBlue o pojemności min. 15l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Kamera biegu wstecznego z obrazem wyświetlanym w lusterku wstecznym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Instalacja elektryczna przedziału medycznego podłączona poprzez dedykowany moduł pojazdu bazowego typu PSM, KFG itp.(technologia CAN bus).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Radioodtwarzacz z głośnikami w kabinie kierowcy i przedziale medycznym, zasilany z 12V z eliminacją zakłóceń i anteną dachową ze wzmacniaczem antenowym. Możliwość całkowitego wyciszenia głośników w przedziale medycznym z panelu sterującego.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27.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Kabina kierowcy ma być wyposażona w  panel  sterujący wyposażony w szczelne przełączniki typu micro swich umożliwiające dezynfekcję i kolorowy wyświetlacz. Panel umieszczony w centralnej środkowej części kokpitu kierowcy, sterujący następującymi funkcjami: (Zamawiający nie dopuszcza panelu z ekranem dotykowym).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sterowanie oświetleniem zewnętrznym (światła robocze),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sterowanie układem ogrzewania dodatkowego niezależnym od pracy silnika,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sterowanie układem klimatyzacji,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323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70" w:leader="none"/>
              </w:tabs>
              <w:suppressAutoHyphens w:val="true"/>
              <w:spacing w:lineRule="atLeast" w:line="100" w:before="0" w:after="12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sygnalizacja graficzna i dźwiękowa niskiego poziomu naładowania akumulatorów,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70" w:leader="none"/>
              </w:tabs>
              <w:suppressAutoHyphens w:val="true"/>
              <w:spacing w:lineRule="atLeast" w:line="100" w:before="0" w:after="12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323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sterowanie sygnalizacją uprzywilejowaną oraz dodatkową sygnalizacją dźwiękową niskotonową,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323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sterowanie drzwiami pomiędzy przedziałem kierowcy i przedziałem medycznym,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323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funkcja SERWIS, powiadamiająca o zbliżającym się terminie przeglądu zabudowy.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323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możliwość załączania przetwornicy prądu 12/230V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323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możliwość załączania intercomu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-1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dwustopniowe podświetlenie przycisków I stopień dla funkcji niezałączonej, II stopień dla funkcji załączonej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-1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miernik zużycia paliwa dla ogrzewania niezależnego od pracy silnika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28.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graficzne monitorowanie pracy powietrznego ogrzewania przedziału medycznego niezależnego od pracy silnika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344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sygnalizacja graficzna wysuniętego stopnia wejściowego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tabs>
                <w:tab w:val="left" w:pos="170" w:leader="none"/>
              </w:tabs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411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II.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SILNIK</w:t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 zapłonem samoczynnym, wtryskiem bezpośrednim typu Common Rail, turbodoładowany, elastyczny, zapewniający przyspieszenie pozwalające na sprawną pracę w ruchu miejskim.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Silnik o pojemności  min. 2000 cm³.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/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Silnik o mocy min. 160 KM.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 xml:space="preserve">Moment obrotowy min. 360 Nm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213" w:right="79" w:hanging="2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pl-PL" w:eastAsia="ar-SA"/>
              </w:rPr>
              <w:t>Silnik spełniający obowiązujące na dzień dostawy normy emisji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fa-IR" w:bidi="fa-IR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pl-PL" w:eastAsia="ar-SA"/>
              </w:rPr>
              <w:t xml:space="preserve">spalin,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III.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ZESPÓŁ PRZENIESIENIA NAPĘDU</w:t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Skrzynia biegów manualna synchronizowana.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Min. 6-biegów do przodu i bieg wsteczny.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Napęd na koła przednie lub tylne.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IV.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UKŁAD HAMULCOWY i SYSTEMY BEZPIECZEŃSTWA</w:t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Układ hamulcowy ze wspomaganiem, wskaźnik zużycia klocków hamulcowych.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Z systemem zapobiegającym blokadzie kół podczas hamowania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 ABS lub równoważny.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Elektroniczny korektor siły hamowania.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 systemem wspomagania nagłego (awaryjnego) hamowania.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Hamulce tarczowe na obu osiach (przód i tył), przednie i tylne wentylowane.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System zapobiegający poślizgowi kół osi napędzanej przy ruszaniu typu ASR.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 xml:space="preserve">System zapobiegający niespodziewanym zmianom pasa ruchu spowodowanym nagłymi podmuchami bocznego wiatru wykorzystujący czujniki systemu stabilizacji toru jazdy </w:t>
            </w:r>
            <w:r>
              <w:rPr>
                <w:rFonts w:eastAsia="Andale Sans UI" w:ascii="Times New Roman" w:hAnsi="Times New Roman"/>
                <w:b/>
                <w:i/>
                <w:color w:val="000000"/>
                <w:sz w:val="20"/>
                <w:szCs w:val="20"/>
                <w:lang w:val="pl-PL" w:eastAsia="ar-SA" w:bidi="fa-IR"/>
              </w:rPr>
              <w:t>lub równoważny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System wspomagania ruszania pod górę,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V.</w:t>
            </w:r>
          </w:p>
        </w:tc>
        <w:tc>
          <w:tcPr>
            <w:tcW w:w="1445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ZAWIESZENIE</w:t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i/>
                <w:i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Fabryczne zawieszenie posiadające wzmocnione drążki stabilizacyjne obu osi. Zawieszenie przednie i tylne wzmocnione zapewniające odpowiedni komfort transportu pacjenta. Zwiększony nacisk na oś przednią (podać o jaką wartość w stosunku do standardowej)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i/>
                <w:i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i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Zawieszenie gwarantujące dobrą przyczepność kół do nawierzchni, stabilność i manewrowość w trudnym terenie oraz  zapewniające odpowiedni komfort transportu  pacjenta.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VI.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UKŁAD KIEROWNICZY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ab/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Ze wspomaganiem. Kierownica regulowana w dwóch płaszczyznach niezależnie tzn. góra-dół i przód tył.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VII.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color w:val="000000"/>
                <w:sz w:val="20"/>
                <w:szCs w:val="20"/>
                <w:lang w:val="pl-PL" w:eastAsia="ar-SA" w:bidi="fa-IR"/>
              </w:rPr>
              <w:t>OGRZEWANIE I WENTYLACJA</w:t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Ogrzewanie wewnętrzne postojowe – grzejnik elektryczny z sieci 230 V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 możliwością ustawienia temperatury i termostatem, min. moc grzewcza   2000 W.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Mechaniczna wentylacja  nawiewno  – wywiewna.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Niezależny od silnika system ogrzewania przedziału medycznego (typu powietrznego) z możliwością ustawienia temperatury i termostatem,  o mocy         min. 5,0 kW umożliwiający ogrzanie przedziału medycznego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1342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Klimatyzacja dwuparownikowa, oddzielna dla  kabiny kierowcy i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704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VIII.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INSTALACJA ELEKTRYCZNA</w:t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Zespół 2 fabrycznych akumulatorów o łącznej pojemności  min. 180 Ah                           do zasilania wszystkich odbiorników prądu.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TAK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i/>
                <w:i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i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Akumulator zasilający przedział medyczny z przekaźnikiem rozłączającym.</w:t>
            </w:r>
            <w:r>
              <w:rPr>
                <w:rFonts w:eastAsia="Andale Sans UI" w:ascii="Times New Roman" w:hAnsi="Times New Roman"/>
                <w:b/>
                <w:bCs/>
                <w:color w:val="000000"/>
                <w:sz w:val="20"/>
                <w:szCs w:val="20"/>
                <w:lang w:val="pl-PL" w:eastAsia="ar-SA" w:bidi="fa-IR"/>
              </w:rPr>
              <w:t xml:space="preserve"> 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Dodatkowy układ umożliwiający równoległe połączenie dwóch akumulatorów, zwiększający sile elektromotoryczną podczas rozruchu, układ oparty o przekaźnik wysoko prądowy o min. prądzie przewodzenia 250 A</w:t>
            </w:r>
            <w:r>
              <w:rPr>
                <w:rFonts w:eastAsia="Andale Sans UI" w:ascii="Times New Roman" w:hAnsi="Times New Roman"/>
                <w:i/>
                <w:color w:val="000000"/>
                <w:sz w:val="20"/>
                <w:szCs w:val="20"/>
                <w:lang w:val="pl-PL" w:eastAsia="ar-SA" w:bidi="fa-IR"/>
              </w:rPr>
              <w:t>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58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Wzmocniony alternator spełniający wymogi obsługi wszystkich odbiorników prądu i jednoczesnego ładowania akumulatorów -  min 180 A.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 (określić)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785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Instalacja elektryczna 230 V: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a) zasilanie zewnętrzne 230 V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b) min. 2  zerowane gniazda w przedziale   medycznym 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c) zabezpieczenie uniemożliwiające rozruch silnika przy podłączonym zasilaniu zewnętrznym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d) zabezpieczenie przeciwporażeniowe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e) przewód zasilający min 10m.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Na pojeździe ma być zamontowana wizualna sygnalizacja informująca                              o podłączeniu ambulansu do sieci 230V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Grzałka w układzie chłodzenia cieczą silnika pojazdu zasilana z sieci 230V.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Instalacja elektryczna 12V w przedziale medycznym: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- min. 4 gniazda 12 V w przedziale medycznym typu Lexel (w tym jedno 20A),  </w:t>
              <w:br/>
              <w:t>do podłączenia urządzeń medycznych,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gniazda wyposażone w rozbieralne wtyki.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909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Atestowana przetwornica prądu stałego 12V na zmienny 230V/50Hz o mocy ciągłej min. 1000VA (czysta sinusoida).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W przedziale medycznym 2 oddzielne gniazda 230V zasilane z tej przetwornicy do obsługi sprzętu medycznego i drukarki systemu wymagających zasilania 230V w czasie jazdy, z możliwością wyłączenia napięcia.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654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IX.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SYGNALIZACJA ŚWIETLNO-DŹWIĘKOWA I OZNAKOWANIE</w:t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color w:val="FF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Belka świetlna umieszczona na przedniej części dachu    pojazdu   z modułami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   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LED koloru niebieskiego  . W pasie przednim zamontowany głośnik o mocy 100 W, sygnał dźwiękowy modulowany -  możliwość podawania komunikatów głosowych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color w:val="FF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color w:val="FF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color w:val="FF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 xml:space="preserve">Sygnalizacja uprzywilejowana zintegrowana z dachem umieszczona w tylnej części dachu pojazdu z modułami LED koloru niebieskiego,  dodatkowe światła LED robocze do oświetlania przedpola za ambulansem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color w:val="FF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color w:val="FF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Dwie lampy LED niebieskiej barwy na wysokości pasa przedniego,                      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987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highlight w:val="yellow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 xml:space="preserve">Min. dwa reflektory zewnętrzne LED po bokach pojazdu, do oświetlenia miejsca akcji, po jednym z każdej strony, z możliwością włączania/wyłączania zarówno z kabiny kierowcy jak i z przedziału medycznego,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694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Oznakowanie pojazdu zgodnie z Rozporządzeniem Ministra Zdrowia z dnia 18.10.2010 r.: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right="141" w:hanging="284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a/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3 pasy odblaskowe zgodnie z Rozporządzeniem Ministra Zdrowia  z dnia 18.10.2010r. wykonane z folii: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right="141" w:hanging="284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typu 3 barwy czerwonej o szer. min. 15 cm, umieszczony w obszarze pomiędzy linią okien i nadkoli,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right="141" w:hanging="284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typu 1 lub 3 barwy czerwonej o szer. min. 15 cm umieszczony wokół dachu,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right="141" w:hanging="284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typu 1 lub 3 barwy niebieskiej umieszczony bezpośrednio nad pasem czerwonym (o którym mowa w pkt. „a”),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142" w:right="141" w:hanging="142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b/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nadruk lustrzany „AMBULANS”, barwy czerwonej lub granatowej z przodu  pojazdu, o wysokości znaków co najmniej 22 cm; dopuszczalne jest umieszczenie nadruku lustrzanego „AMBULANS” barwy czerwonej lub granatowej, o wysokości znaków co najmniej 10 cm także z tyłu pojazdu;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right="141" w:hanging="284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c/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po obu bokach i z tyłu pojazdu nadruk barwy czerwonej „P”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right="141" w:hanging="284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 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(do uzgodnienia) w okręgu o średnicy co najmniej 40 cm, o grubości linii koła i liter 4 cm,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d/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na drzwiach bocznych ambulansów napis z nazwą dysponenta ZRM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X.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OŚWIETLENIE PRZEDZIAŁU MEDYCZNEGO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hanging="284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Oświetlenie charakteryzujące się parametrami nie gorszymi jak poniżej: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hanging="284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ar-SA" w:bidi="fa-IR"/>
              </w:rPr>
              <w:t>Oświetlenie charakteryzujące się parametrami nie gorszymi jak poniżej: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284" w:hanging="284"/>
              <w:jc w:val="both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highlight w:val="white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highlight w:val="white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1) światło rozproszone umieszczone po obu stronach górnej części przedziału medycznego min. 6 lamp sufitowych LED, z funkcja ich przygaszania na czas transportu pacjenta (tzw. oświetlenie nocne),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highlight w:val="white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2) oświetlenie halogenowe regulowane umieszczone w suficie nad noszami punktowe (min. 2 szt.),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3)  halogen zamontowany nad blatem roboczym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XI.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 xml:space="preserve">  </w:t>
            </w: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PRZEDZIAŁ MEDYCZNY I JEGO WYPOSAŻENIE</w:t>
            </w:r>
          </w:p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Cs/>
                <w:sz w:val="20"/>
                <w:szCs w:val="20"/>
                <w:lang w:val="pl-PL" w:eastAsia="ar-SA" w:bidi="fa-IR"/>
              </w:rPr>
              <w:t>WYPOSAŻENIE  PRZEDZIAŁU MEDYCZNEGO (pomieszczenia  dla pacjenta)</w:t>
              <w:br/>
              <w:t xml:space="preserve">- pomieszczenie powinno pomieścić urządzenia medyczne wyszczególnione </w:t>
              <w:br/>
              <w:t>poniżej: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Cs/>
                <w:sz w:val="20"/>
                <w:szCs w:val="20"/>
                <w:lang w:val="pl-PL" w:eastAsia="ar-SA" w:bidi="fa-IR"/>
              </w:rPr>
              <w:t>WYPOSAŻENIE  PRZEDZIAŁU MEDYCZNEGO (pomieszczenia  dla pacjenta)</w:t>
              <w:br/>
              <w:t>- pomieszczenie pomieści urządzenia medyczne wyszczególnione poniżej:</w:t>
            </w:r>
          </w:p>
        </w:tc>
      </w:tr>
      <w:tr>
        <w:trPr>
          <w:trHeight w:val="268" w:hRule="atLeast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310" w:leader="none"/>
              </w:tabs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1/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Zabudowa specjalna na ścianie działowej (dopuszcza się zabudowę równoważną  </w:t>
            </w:r>
          </w:p>
          <w:p>
            <w:pPr>
              <w:pStyle w:val="Normal"/>
              <w:widowControl w:val="false"/>
              <w:tabs>
                <w:tab w:val="left" w:pos="1310" w:leader="none"/>
              </w:tabs>
              <w:suppressAutoHyphens w:val="true"/>
              <w:spacing w:lineRule="atLeast" w:line="100" w:before="0" w:after="0"/>
              <w:ind w:left="1" w:hanging="1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 opisaną funkcjonalnością pod warunkiem wykazania tej równoważności przez Wykonawcę – załączyć do oferty schemat zabudowy ściany działowej potwierdzony przez jednostkę badawczą):</w:t>
            </w:r>
          </w:p>
          <w:p>
            <w:pPr>
              <w:pStyle w:val="Normal"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szafka przy drzwiach prawych przesuwnych z blatem roboczym do przygotowywania leków wyłożona blachą nierdzewną, wyposażona w min. trzy szuflady: w jednej szufladzie system mocowania drukarki systemu PRM SWD z instalacją zasilającą i połączeniową z tabletem, mocowanie ma umożliwiać drukowanie dokumentów oraz bezpieczny transport po zamknięciu szuflady, w dwóch pozostałych szufladach system przesuwnych przegród porządkujący przewożone tam leki,</w:t>
            </w:r>
          </w:p>
          <w:p>
            <w:pPr>
              <w:pStyle w:val="Normal"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pojemnik na zużyte igły,</w:t>
            </w:r>
          </w:p>
          <w:p>
            <w:pPr>
              <w:pStyle w:val="Normal"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wysuwany kosz na odpady,</w:t>
            </w:r>
          </w:p>
          <w:p>
            <w:pPr>
              <w:pStyle w:val="Normal"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termobox – elektryczny ogrzewacz płynów infuzyjnych z płynną regulacją temperatury,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miejsce i system mocowania plecaka ratunkowego z dostępem zarówno z zewnątrz jak i z wewnątrz przedziału medycznego,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-  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>jeden fotel dla personelu medycznego obrotowy o kąt min. 90 stopni mocowany do podłogi w miejscu umożliwiającym nieskrępowane obejście noszy jak i bezproblemowe przejście do kabiny kierowcy, posiadający możliwość dosunięcia lub odsunięcia do/od węzgłowia noszy w zakresie umożliwiającym prawidłowe wykonywanie czynności medycznych przy pacjencie (np. intubowanie), wyposażony w zintegrowane bezwładnościowe pasy bezpieczeństwa, zagłówek   i regulowany kąt oparcia pleców,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przy drzwiach bocznych zamontowany panel sterujący oświetleniem roboczym po bokach i z tyłu ambulansu oraz oświetleniem przedziału medycznego.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885" w:leader="none"/>
              </w:tabs>
              <w:suppressAutoHyphens w:val="true"/>
              <w:spacing w:lineRule="auto" w:line="240" w:before="0" w:after="0"/>
              <w:ind w:left="1" w:hanging="1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2/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Zabudowa specjalna na ścianie prawej (dopuszcza się zabudowę równoważną z opisaną funkcjonalnością pod warunkiem wykazania tej równoważności przez Wykonawcę – załączyć do oferty schemat zabudowy ściany działowej potwierdzony przez jednostkę badawczą) :</w:t>
            </w:r>
          </w:p>
          <w:p>
            <w:pPr>
              <w:pStyle w:val="Normal"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color w:val="0000FF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 min. dwie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b/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c/ uchwyt na butlą tlenową o min. pojemności 400l przy ciśnieniu 150 at, 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d/ uchwyty ułatwiające wsiadanie; przy drzwiach bocznych i drzwiach tylnych,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e/ przy drzwiach tylnych zamontowany panel sterujący oświetleniem roboczym po bokach i z tyłu ambulansu oraz oświetleniem przedziału medycznego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f/ przy drzwiach przesuwnych panel  sterujący wyposażony w szczelne przełączniki typu micro swich umożliwiające dezynfekcję i kolorowy wyświetlacz. Sterujący następującymi funkcjami: (Zamawiający nie dopuszcza panelu z ekranem dotykowym).:     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sterowanie oświetleniem wewnętrznym (również nocnym) przedziału oraz oświetleniem zewnętrznym (światła robocze),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sterowanie układem ogrzewania dodatkowego oraz stacjonarnym ogrzewaniem postojowym zasilanym z sieci 230V,                                                                                                         - sterowanie układem klimatyzacji i wentylacji.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załączanie intercomu,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sterowanie głośnikiem radiotelefonu,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- regulacja głośności w głośnikach radioodtwarzacza,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885" w:leader="none"/>
              </w:tabs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3/ U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chwyt na plecak ratunkowy umożliwiający korzystanie z zawartości plecaka po jego otwarciu. Uchwyt w pozycji zamkniętej jako system podtrzymujący wyposażenie w przedziale medycznym odpowiada wymogom:</w:t>
            </w:r>
          </w:p>
          <w:p>
            <w:pPr>
              <w:pStyle w:val="Normal"/>
              <w:tabs>
                <w:tab w:val="left" w:pos="197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fa-IR" w:bidi="fa-IR"/>
              </w:rPr>
              <w:t xml:space="preserve">- normy PN EN 1789+A2:2015-01 </w:t>
            </w:r>
            <w:r>
              <w:rPr>
                <w:rFonts w:eastAsia="Andale Sans UI" w:ascii="Times New Roman" w:hAnsi="Times New Roman"/>
                <w:b/>
                <w:i/>
                <w:color w:val="000000"/>
                <w:sz w:val="20"/>
                <w:szCs w:val="20"/>
                <w:lang w:val="pl-PL" w:eastAsia="fa-IR" w:bidi="fa-IR"/>
              </w:rPr>
              <w:t>lub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fa-IR" w:bidi="fa-IR"/>
              </w:rPr>
              <w:t xml:space="preserve"> </w:t>
            </w:r>
          </w:p>
          <w:p>
            <w:pPr>
              <w:pStyle w:val="Normal"/>
              <w:tabs>
                <w:tab w:val="left" w:pos="197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fa-IR" w:bidi="fa-IR"/>
              </w:rPr>
              <w:t xml:space="preserve">- normy PN EN 1789+A1:2011 pod warunkiem, że pojazd został zabudowany przez producenta, któremu jednostka certyfikująca przyznała uprzednio certyfikat wg wymagań PN EN 1789+A1:2011 i certyfikat ten nadal jest aktualny </w:t>
            </w:r>
            <w:r>
              <w:rPr>
                <w:rFonts w:eastAsia="Andale Sans UI" w:ascii="Times New Roman" w:hAnsi="Times New Roman"/>
                <w:b/>
                <w:i/>
                <w:color w:val="000000"/>
                <w:sz w:val="20"/>
                <w:szCs w:val="20"/>
                <w:lang w:val="pl-PL" w:eastAsia="fa-IR" w:bidi="fa-IR"/>
              </w:rPr>
              <w:t>lub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fa-IR" w:bidi="fa-IR"/>
              </w:rPr>
              <w:t xml:space="preserve"> </w:t>
            </w:r>
          </w:p>
          <w:p>
            <w:pPr>
              <w:pStyle w:val="Normal"/>
              <w:tabs>
                <w:tab w:val="left" w:pos="197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fa-IR" w:bidi="fa-IR"/>
              </w:rPr>
              <w:t xml:space="preserve">-  innej normy równoważnej tj. odpowiadającej treści normy PN EN 1789+A2:2015-01 </w:t>
            </w:r>
          </w:p>
          <w:p>
            <w:pPr>
              <w:pStyle w:val="Normal"/>
              <w:tabs>
                <w:tab w:val="left" w:pos="197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fa-IR" w:bidi="fa-IR"/>
              </w:rPr>
              <w:t xml:space="preserve">w tym zakresie,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oraz jest elementem cało pojazdowej homologacji oferowanej marki i modelu ambulansu - </w:t>
            </w:r>
            <w:r>
              <w:rPr>
                <w:rFonts w:eastAsia="Andale Sans UI" w:ascii="Times New Roman" w:hAnsi="Times New Roman"/>
                <w:b/>
                <w:color w:val="FF0000"/>
                <w:sz w:val="20"/>
                <w:szCs w:val="20"/>
                <w:lang w:val="pl-PL" w:eastAsia="ar-SA" w:bidi="fa-IR"/>
              </w:rPr>
              <w:t>parametr dodatkowo punktowany.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TAK - </w:t>
            </w: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15 pkt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NIE -  </w:t>
            </w: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0 pkt.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197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885" w:leader="none"/>
              </w:tabs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 xml:space="preserve">4/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Zabudowa specjalna na ścianie lewej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>
            <w:pPr>
              <w:pStyle w:val="Normal"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a/ min. cztery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</w:p>
          <w:p>
            <w:pPr>
              <w:pStyle w:val="Normal"/>
              <w:suppressLineNumbers/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b/ pod szafkami panel z gniazdami tlenowymi (min. 2 szt.) i gniazdami 12V </w:t>
              <w:br/>
              <w:t>(min. 3 szt.),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c/ min. 2 przesuwne na szynach płyty do zamocowania dowolnego defibrylatora transportowego, dowolnej pompy infuzyjnej, 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d/ na wysokości głowy pacjenta miejsce do zamocowania dowolnego respiratora transportowego oraz pólka z miejscem na przewody zasilające i przewód pacjenta,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e/ szafa z pojemnikami i szufladami do uporządkowanego transportu i segregacji leków, miejscem na torbę ratunkową, miejscem zamontowania ssaka elektrycznego i gniazdem 12V, zamykana podwójną roletą, u dołu szafki kosz na odpady medyczne.</w:t>
            </w:r>
          </w:p>
          <w:p>
            <w:pPr>
              <w:pStyle w:val="Normal"/>
              <w:suppressLineNumbers/>
              <w:tabs>
                <w:tab w:val="left" w:pos="284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f) schowek  na narkotyki zamykany zamkiem szyfrowym,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09" w:hanging="709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885" w:leader="none"/>
              </w:tabs>
              <w:suppressAutoHyphens w:val="true"/>
              <w:spacing w:lineRule="atLeast" w:line="100" w:before="0" w:after="0"/>
              <w:ind w:left="1" w:hanging="1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 xml:space="preserve">5/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Na lewej ścianie przy fotelu zamontowany duży plaski panel informacyjny                         o wymiarach min. 600x600 mm umożliwiający umieszczenie materiałów informacyjnych dotyczących; procedur medycznych, dawkowania leków,  procedur dezynfekcji przedziału medycznego i jego wyposażenia posiadający funkcję tablicy sucho ścieralnej w celu zapisywania na bieżąco pozyskiwanych podczas akcji ratunkowej informacji o pacjencie.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885" w:leader="none"/>
              </w:tabs>
              <w:suppressAutoHyphens w:val="true"/>
              <w:spacing w:lineRule="atLeast" w:line="100" w:before="0" w:after="0"/>
              <w:ind w:left="1" w:hanging="1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09" w:hanging="709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885" w:leader="none"/>
              </w:tabs>
              <w:suppressAutoHyphens w:val="true"/>
              <w:spacing w:lineRule="atLeast" w:line="100" w:before="0" w:after="0"/>
              <w:ind w:left="1" w:hanging="1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 xml:space="preserve">6/ 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System mocowania urządzenia do masażu klatki piersiowej.</w:t>
            </w:r>
          </w:p>
          <w:p>
            <w:pPr>
              <w:pStyle w:val="Normal"/>
              <w:widowControl w:val="false"/>
              <w:tabs>
                <w:tab w:val="left" w:pos="885" w:leader="none"/>
              </w:tabs>
              <w:suppressAutoHyphens w:val="true"/>
              <w:spacing w:lineRule="atLeast" w:line="100" w:before="0" w:after="0"/>
              <w:ind w:left="1" w:hanging="1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W przypadku mocowania urządzenia do masażu klatki piersiowej w przedziale medycznym, system mocowania jest elementem całopojazdowej homologacji oferowanej marki i modelu ambulansu - atest 10G; miejsce mocowania tj. w przedziale medycznym jako</w:t>
            </w: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 xml:space="preserve"> </w:t>
            </w:r>
            <w:r>
              <w:rPr>
                <w:rFonts w:eastAsia="Andale Sans UI" w:ascii="Times New Roman" w:hAnsi="Times New Roman"/>
                <w:b/>
                <w:color w:val="FF0000"/>
                <w:sz w:val="20"/>
                <w:szCs w:val="20"/>
                <w:lang w:val="pl-PL" w:eastAsia="ar-SA" w:bidi="fa-IR"/>
              </w:rPr>
              <w:t>parametr dodatkowo punktowany.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(podać miejsce mocowania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– </w:t>
            </w: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w przypadku mocowania w przedziale medycznym podać, czy jest całopojazdowa homologacja – atest 10G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TAK - </w:t>
            </w: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10 pkt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NIE -  </w:t>
            </w: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0 pkt.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)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885" w:leader="none"/>
              </w:tabs>
              <w:suppressAutoHyphens w:val="true"/>
              <w:spacing w:lineRule="atLeast" w:line="100" w:before="0" w:after="0"/>
              <w:ind w:left="1" w:hanging="1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Uchwyt do kroplówki na min. 3 szt. mocowane w suficie.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Centralna instalacja tlenowa:</w:t>
            </w:r>
          </w:p>
          <w:p>
            <w:pPr>
              <w:pStyle w:val="Normal"/>
              <w:widowControl w:val="false"/>
              <w:tabs>
                <w:tab w:val="left" w:pos="1220" w:leader="none"/>
              </w:tabs>
              <w:suppressAutoHyphens w:val="true"/>
              <w:spacing w:lineRule="atLeast" w:line="100" w:before="0" w:after="0"/>
              <w:ind w:left="227" w:right="141" w:hanging="227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a) z zamontowanym na ścianie lewej panelem z min. 2 punktami poboru typu AGA (oddzielne gniazda pojedyncze) , </w:t>
            </w:r>
            <w:r>
              <w:rPr>
                <w:rFonts w:eastAsia="Andale Sans UI" w:ascii="Times New Roman" w:hAnsi="Times New Roman"/>
                <w:b/>
                <w:bCs/>
                <w:color w:val="FF0000"/>
                <w:sz w:val="20"/>
                <w:szCs w:val="20"/>
                <w:lang w:val="pl-PL" w:eastAsia="ar-SA" w:bidi="fa-IR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left" w:pos="1220" w:leader="none"/>
              </w:tabs>
              <w:suppressAutoHyphens w:val="true"/>
              <w:spacing w:lineRule="atLeast" w:line="100" w:before="0" w:after="0"/>
              <w:ind w:left="227" w:right="141" w:hanging="227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b) sufitowy punkt poboru tlenu, z regulacją przepływu tlenu  przez przepływomierz ścienny zamontowany obok przedniego fotela na ścianie prawej przedziału medycznego,</w:t>
            </w:r>
          </w:p>
          <w:p>
            <w:pPr>
              <w:pStyle w:val="Normal"/>
              <w:widowControl w:val="false"/>
              <w:tabs>
                <w:tab w:val="left" w:pos="1220" w:leader="none"/>
              </w:tabs>
              <w:suppressAutoHyphens w:val="true"/>
              <w:spacing w:lineRule="atLeast" w:line="100" w:before="0" w:after="0"/>
              <w:ind w:left="227" w:right="141" w:hanging="227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>
            <w:pPr>
              <w:pStyle w:val="Normal"/>
              <w:widowControl w:val="false"/>
              <w:tabs>
                <w:tab w:val="left" w:pos="1220" w:leader="none"/>
              </w:tabs>
              <w:suppressAutoHyphens w:val="true"/>
              <w:spacing w:lineRule="atLeast" w:line="100" w:before="0" w:after="0"/>
              <w:ind w:left="227" w:right="141" w:hanging="227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d) instalacja tlenowa przystosowana do pracy przy ciśnieniu roboczym 150 atm.,</w:t>
            </w:r>
          </w:p>
          <w:p>
            <w:pPr>
              <w:pStyle w:val="Normal"/>
              <w:widowControl w:val="false"/>
              <w:tabs>
                <w:tab w:val="left" w:pos="1220" w:leader="none"/>
              </w:tabs>
              <w:suppressAutoHyphens w:val="true"/>
              <w:spacing w:lineRule="atLeast" w:line="100" w:before="0" w:after="0"/>
              <w:ind w:left="227" w:right="141" w:hanging="227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e) konstrukcja zapewniająca możliwość swobodnego dostępu z wnętrza ambulansu  do zaworów butli tlenowych oraz obserwacji manometrów reduktorów tlenowych bez potrzeby zdejmowania osłony.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220" w:leader="none"/>
              </w:tabs>
              <w:suppressAutoHyphens w:val="true"/>
              <w:spacing w:lineRule="atLeast" w:line="100" w:before="0" w:after="0"/>
              <w:ind w:left="227" w:right="141" w:hanging="227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Laweta (podstawa pod nosze główne) z napędem mechanicznym lub elektrycznym, posiadająca przesuw boczny min. 20 cm, możliwość pochyłu o min. 10 stopni  do pozycji Trendelenburga i Antytrendelenburga (pozycji drenażowej), z wysuwem na zewnątrz pojazdu umożliwiającym wjazd noszy na lawetę pod kątem nie większym jak 10 stopni, długość leża pacjenta w zakresie 190 - 195 cm, (podać markę i model).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System szyn podłogowych z przesuwnymi panelami umożliwiającymi szybką wymianę lawety w celu przystosowania ambulansu do transportu pacjentów na noszach bariatrycznych, system jako element całopojazdowej homologacji oferowanej marki i modelu ambulansu-  </w:t>
            </w:r>
            <w:r>
              <w:rPr>
                <w:rFonts w:eastAsia="Andale Sans UI" w:ascii="Times New Roman" w:hAnsi="Times New Roman"/>
                <w:b/>
                <w:color w:val="FF0000"/>
                <w:sz w:val="20"/>
                <w:szCs w:val="20"/>
                <w:lang w:val="pl-PL" w:eastAsia="ar-SA" w:bidi="fa-IR"/>
              </w:rPr>
              <w:t>parametr dodatkowo punktowany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TAK - </w:t>
            </w: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15 pkt</w:t>
            </w: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NIE -  </w:t>
            </w: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0 pkt.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993" w:leader="none"/>
              </w:tabs>
              <w:suppressAutoHyphens w:val="true"/>
              <w:spacing w:lineRule="atLeast" w:line="100" w:before="0" w:after="0"/>
              <w:ind w:right="141" w:hanging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Wzmocniona i wypełniona materiałem izolacyjnym o grubości min. 25 mm podłoga umożliwiająca mocowanie ruchomej podstawy pod nosze główne. W podłodze zintegrowane wzmocnienia pod lawetę i fotele. Podłoga o powierzchni przeciw-poślizgowej, łatwo zmywalnej, połączonej szczelnie  z zabudową ścian.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Uchwyty ścienne i sufitowe dla personelu.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highlight w:val="red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XII.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color w:val="000000"/>
                <w:sz w:val="20"/>
                <w:szCs w:val="20"/>
                <w:shd w:fill="FF0000" w:val="clear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color w:val="000000"/>
                <w:sz w:val="20"/>
                <w:szCs w:val="20"/>
                <w:shd w:fill="FF0000" w:val="clear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fa-IR" w:bidi="fa-IR"/>
              </w:rPr>
              <w:t>ŁĄCZNOŚĆ RADIOWA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334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tLeast" w:line="100" w:before="0" w:after="0"/>
              <w:jc w:val="right"/>
              <w:textAlignment w:val="baseline"/>
              <w:rPr>
                <w:rFonts w:ascii="Times New Roman" w:hAnsi="Times New Roman" w:eastAsia="Andale Sans UI"/>
                <w:sz w:val="20"/>
                <w:szCs w:val="20"/>
                <w:shd w:fill="FFFFFF" w:val="clear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shd w:fill="FFFFFF" w:val="clear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fa-IR" w:bidi="fa-IR"/>
              </w:rPr>
              <w:t>Kabina kierowcy wyposażona w instalacje do radiotelefonu.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tLeast" w:line="100" w:before="0" w:after="0"/>
              <w:jc w:val="right"/>
              <w:textAlignment w:val="baseline"/>
              <w:rPr>
                <w:rFonts w:ascii="Times New Roman" w:hAnsi="Times New Roman" w:eastAsia="Andale Sans UI"/>
                <w:sz w:val="20"/>
                <w:szCs w:val="20"/>
                <w:shd w:fill="FFFFFF" w:val="clear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shd w:fill="FFFFFF" w:val="clear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fa-IR" w:bidi="fa-IR"/>
              </w:rPr>
              <w:t>Wyprowadzenie instalacji do podłączenia radiotelefonu.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tLeast" w:line="100" w:before="0" w:after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  <w:shd w:fill="FFFFFF" w:val="clear"/>
                <w:lang w:val="pl-PL" w:eastAsia="ar-SA" w:bidi="fa-I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right"/>
              <w:textAlignment w:val="baseline"/>
              <w:rPr>
                <w:rFonts w:ascii="Times New Roman" w:hAnsi="Times New Roman" w:eastAsia="SimSun"/>
                <w:sz w:val="20"/>
                <w:szCs w:val="20"/>
                <w:shd w:fill="FFFFFF" w:val="clear"/>
                <w:lang w:val="pl-PL" w:eastAsia="ar-SA" w:bidi="fa-IR"/>
              </w:rPr>
            </w:pPr>
            <w:r>
              <w:rPr>
                <w:rFonts w:eastAsia="SimSun" w:ascii="Times New Roman" w:hAnsi="Times New Roman"/>
                <w:sz w:val="20"/>
                <w:szCs w:val="20"/>
                <w:shd w:fill="FFFFFF" w:val="clear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fa-IR" w:bidi="fa-IR"/>
              </w:rPr>
              <w:t>Zamontowana  na powierzchni metalowej dachowa  antena VHF 1/4  fali radiotelefonu o n/w parametrach i podłączona do radiotelefonu: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SimSun"/>
                <w:sz w:val="20"/>
                <w:szCs w:val="20"/>
                <w:shd w:fill="FFFFFF" w:val="clear"/>
                <w:lang w:val="pl-PL" w:eastAsia="ar-SA" w:bidi="fa-IR"/>
              </w:rPr>
            </w:pPr>
            <w:r>
              <w:rPr>
                <w:rFonts w:eastAsia="SimSun" w:ascii="Times New Roman" w:hAnsi="Times New Roman"/>
                <w:sz w:val="20"/>
                <w:szCs w:val="20"/>
                <w:shd w:fill="FFFFFF" w:val="clear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fa-IR" w:bidi="fa-IR"/>
              </w:rPr>
              <w:t>a) dostrojona na zakres częstotliwości 168.900 Mhz,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SimSun"/>
                <w:sz w:val="20"/>
                <w:szCs w:val="20"/>
                <w:shd w:fill="FFFFFF" w:val="clear"/>
                <w:lang w:val="pl-PL" w:eastAsia="ar-SA" w:bidi="fa-IR"/>
              </w:rPr>
            </w:pPr>
            <w:r>
              <w:rPr>
                <w:rFonts w:eastAsia="SimSun" w:ascii="Times New Roman" w:hAnsi="Times New Roman"/>
                <w:sz w:val="20"/>
                <w:szCs w:val="20"/>
                <w:shd w:fill="FFFFFF" w:val="clear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fa-IR" w:bidi="fa-IR"/>
              </w:rPr>
              <w:t>b) impedancja wejścia 50 Ohm,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SimSun"/>
                <w:sz w:val="20"/>
                <w:szCs w:val="20"/>
                <w:shd w:fill="FFFFFF" w:val="clear"/>
                <w:lang w:val="pl-PL" w:eastAsia="ar-SA" w:bidi="fa-IR"/>
              </w:rPr>
            </w:pPr>
            <w:r>
              <w:rPr>
                <w:rFonts w:eastAsia="SimSun" w:ascii="Times New Roman" w:hAnsi="Times New Roman"/>
                <w:sz w:val="20"/>
                <w:szCs w:val="20"/>
                <w:shd w:fill="FFFFFF" w:val="clear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fa-IR" w:bidi="fa-IR"/>
              </w:rPr>
              <w:t>c)  współczynnik fali stojącej ≤ 1,0,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highlight w:val="white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SimSun"/>
                <w:sz w:val="20"/>
                <w:szCs w:val="20"/>
                <w:shd w:fill="FF0000" w:val="clear"/>
                <w:lang w:val="pl-PL" w:eastAsia="ar-SA" w:bidi="fa-IR"/>
              </w:rPr>
            </w:pPr>
            <w:r>
              <w:rPr>
                <w:rFonts w:eastAsia="SimSun" w:ascii="Times New Roman" w:hAnsi="Times New Roman"/>
                <w:sz w:val="20"/>
                <w:szCs w:val="20"/>
                <w:shd w:fill="FF0000" w:val="clear"/>
                <w:lang w:val="pl-PL" w:eastAsia="ar-SA" w:bidi="fa-IR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>d) charakterystyka  promieniowania dookólna.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XIII.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ab/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DODATKOWE WYPOSAŻENIE POJAZDU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>Dodatkowa gaśnica w przedziale medycznym.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>Urządzenie do wybijania szyb i do cięcia pasów w przedziale medycznym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>W kabinie kierowcy przenośny szperacz akumulatorowo sieciowy z możliwością ładowania w ambulansie  wyposażony w światło LED,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>Trójkąt ostrzegawczy – 2 sztuki, komplet kluczy, podnośnik samochodowy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>Komplet dywaników  gumowych w  kabinie kierowcy,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>Zbiornik paliwa w ambulansie przy odbiorze ma być napełniony powyżej stanu ,,rezerwy”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>Kamera biegu wstecznego z wyświetlaczem w kabinie kierowcy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/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sz w:val="20"/>
                <w:szCs w:val="20"/>
                <w:lang w:val="pl-PL" w:eastAsia="ar-SA" w:bidi="fa-IR"/>
              </w:rPr>
              <w:t>XIV.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SERWIS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 xml:space="preserve">Serwis pojazdu bazowego realizowany w najbliższej ASO oferowanej marki ambulansu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  <w:t>Serwis zabudowy specjalnej sanitarnej w okresie gwarancji (łącznie z wymaganymi okresowymi przeglądami zabudowy sanitarnej) realizowany w siedzibie Zamawiającego.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fa-IR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fa-IR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XV.</w:t>
            </w:r>
          </w:p>
        </w:tc>
        <w:tc>
          <w:tcPr>
            <w:tcW w:w="144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BE5F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b/>
                <w:bCs/>
                <w:sz w:val="20"/>
                <w:szCs w:val="20"/>
                <w:lang w:val="pl-PL" w:eastAsia="ar-SA" w:bidi="fa-IR"/>
              </w:rPr>
              <w:t>GWARANCJA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/>
            </w:pPr>
            <w:r>
              <w:rPr>
                <w:rFonts w:eastAsia="Andale Sans UI" w:ascii="Times New Roman" w:hAnsi="Times New Roman"/>
                <w:b/>
                <w:color w:val="000000"/>
                <w:sz w:val="20"/>
                <w:szCs w:val="20"/>
                <w:lang w:val="pl-PL" w:eastAsia="ar-SA" w:bidi="fa-IR"/>
              </w:rPr>
              <w:t>Gwarancja mechaniczna na ambulans,</w:t>
            </w: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  <w:t xml:space="preserve"> nie krócej jednak niż 24 miesiące (bez limitu km).</w:t>
            </w:r>
            <w:r>
              <w:rPr>
                <w:rFonts w:eastAsia="Andale Sans UI" w:ascii="Times New Roman" w:hAnsi="Times New Roman"/>
                <w:b/>
                <w:color w:val="FF0000"/>
                <w:sz w:val="20"/>
                <w:szCs w:val="20"/>
                <w:lang w:val="pl-PL" w:eastAsia="ar-SA" w:bidi="fa-IR"/>
              </w:rPr>
              <w:t xml:space="preserve"> </w:t>
            </w:r>
            <w:bookmarkStart w:id="2" w:name="__DdeLink__5082_898984128"/>
            <w:bookmarkEnd w:id="2"/>
            <w:r>
              <w:rPr>
                <w:rFonts w:eastAsia="Andale Sans UI" w:ascii="Times New Roman" w:hAnsi="Times New Roman"/>
                <w:b/>
                <w:color w:val="FF0000"/>
                <w:sz w:val="20"/>
                <w:szCs w:val="20"/>
                <w:lang w:val="pl-PL" w:eastAsia="ar-SA" w:bidi="fa-IR"/>
              </w:rPr>
              <w:t>Parametr dodatkowo punktowany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(określić)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24 m-ce - 0 pkt.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36 m-cy – 50 pkt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48 m-cy – 100 pkt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color w:val="000000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color w:val="000000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Gwarancja na powłoki  lakiernicze ambulansu – min. 24 miesiące.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Gwarancja na perforację – min. 120  miesięcy.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170" w:hanging="17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/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Gwarancja na zabudowę medyczną – min. 24 miesiące.                    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/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  <w:tr>
        <w:trPr>
          <w:trHeight w:val="268" w:hRule="atLeast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Gwarancja na sprzęt medyczny – min. 24 miesiące.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  <w:t>TAK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both"/>
              <w:textAlignment w:val="baseline"/>
              <w:rPr>
                <w:rFonts w:ascii="Times New Roman" w:hAnsi="Times New Roman" w:eastAsia="Andale Sans UI"/>
                <w:sz w:val="20"/>
                <w:szCs w:val="20"/>
                <w:lang w:val="pl-PL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pl-PL" w:eastAsia="ar-SA" w:bidi="fa-IR"/>
              </w:rPr>
            </w:r>
          </w:p>
        </w:tc>
      </w:tr>
    </w:tbl>
    <w:p>
      <w:pPr>
        <w:pStyle w:val="Normal"/>
        <w:spacing w:lineRule="atLeast" w:line="100" w:before="28" w:after="0"/>
        <w:rPr>
          <w:rFonts w:ascii="Times New Roman" w:hAnsi="Times New Roman"/>
          <w:b/>
          <w:b/>
          <w:bCs/>
          <w:sz w:val="20"/>
          <w:szCs w:val="20"/>
          <w:lang w:val="pl-PL" w:eastAsia="ar-SA"/>
        </w:rPr>
      </w:pPr>
      <w:r>
        <w:rPr>
          <w:rFonts w:ascii="Times New Roman" w:hAnsi="Times New Roman"/>
          <w:b/>
          <w:bCs/>
          <w:sz w:val="20"/>
          <w:szCs w:val="20"/>
          <w:lang w:val="pl-PL" w:eastAsia="ar-SA"/>
        </w:rPr>
      </w:r>
    </w:p>
    <w:p>
      <w:pPr>
        <w:pStyle w:val="Normal"/>
        <w:spacing w:lineRule="atLeast" w:line="100" w:before="28" w:after="0"/>
        <w:rPr>
          <w:rFonts w:ascii="Times New Roman" w:hAnsi="Times New Roman"/>
          <w:b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WYPOSAŻENIE MEDYCZNE AMBULANSU</w:t>
      </w:r>
    </w:p>
    <w:tbl>
      <w:tblPr>
        <w:tblW w:w="15026" w:type="dxa"/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6"/>
        <w:gridCol w:w="6206"/>
        <w:gridCol w:w="3119"/>
        <w:gridCol w:w="5104"/>
      </w:tblGrid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Parametr wymagany 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150" w:leader="none"/>
              </w:tabs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1150" w:leader="none"/>
              </w:tabs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Parametr oferowany</w:t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NOSZE GŁÓWNE-PRODUCENT /MODEL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Podać markę, model</w:t>
            </w:r>
            <w:r>
              <w:rPr>
                <w:rFonts w:ascii="Times New Roman" w:hAnsi="Times New Roman"/>
                <w:sz w:val="20"/>
                <w:szCs w:val="20"/>
              </w:rPr>
              <w:t>, załączyć folder</w:t>
            </w:r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Przystosowane do prowadzenia reanimacji wyposażone w twardą płytę na całej długości pod materacem umożliwiającą ustawienie wszystkich dostępnych funkcji;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Z materacem z materiału nie przyjmującego krwi, brudu itp. Przystosowanym do mycia i dezynfekcji 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Nosze potrójnie łamane z możliwością ustawienia pozycji przeciwwstrząsowej, pozycji zmniejszającej napięcie mięśni brzucha oraz pozycji siedzącej za pomocą siłowników gazowych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Bezstopniowa, wspomagana sprężyną gazową  regulacja nachylenia oparcia pod plecami do kąta min. 80 stopni.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Z zestawem pasów szelkowych i poprzecznych zabezpieczających pacjenta o regulowanej długości mocowanych bezpośrednio do ramy noszy oraz systemem  pasów/uprzęży służących do transportu małych dzieci w pozycji leżącej lub siedzącej.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Wyposażone w  podgłówek mocowany bezpośrednio do ramy noszy umożliwiający przedłużenie powierzchni leża w celu transportu pacjenta o znacznym wzroście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Wysuwane uchwyty przednie i tylne do przenoszenia noszy, składane barierki boczne.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pl-PL"/>
              </w:rPr>
              <w:t>Fabryczna półka uniwersalna mocowana na stałe  bezpośrednio do ramy noszy po stronie głowy pacjenta umożliwiająca przechowywanie oraz transport np. dokumentacji, rzeczy osobistych pacjenta itp. nośność min. 15 kg;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textAlignment w:val="baseline"/>
              <w:rPr>
                <w:rFonts w:ascii="Times New Roman" w:hAnsi="Times New Roman" w:eastAsia="Andale Sans UI"/>
                <w:b/>
                <w:b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>
          <w:trHeight w:val="701" w:hRule="atLeast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Obciążenie dopuszczalne noszy powyżej 200 kg (podać obciążenie dopuszczalne w kg);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waga oferowanych noszy max. 23 kg zgodnie z wymogami normy PN EN 1865 (podać wagę noszy w kg);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TRANSPORTER NOSZY GŁÓWNYCH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Podać markę, model</w:t>
            </w:r>
            <w:r>
              <w:rPr>
                <w:rFonts w:ascii="Times New Roman" w:hAnsi="Times New Roman"/>
                <w:sz w:val="20"/>
                <w:szCs w:val="20"/>
              </w:rPr>
              <w:t>, załączyć folder</w:t>
            </w:r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z systemem składanego podwozia umożliwiającym łatwy załadunek i rozładunek transportera do/z ambulansu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z systemem szybkiego i bezpiecznego połączenia z noszami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regulacja wysokości na min. sześciu poziomach, ustawianie wysokości wspomagane sprężynami gazowymi.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System niezależnego składania się przednich i tylnych goleni transportera w momencie załadunku do ambulansu i rozładunku z ambulansu pozwalający na wprowadzenie zestawu transportowego do ambulansu przez jedną osobę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Możliwość regulacji długości goleni przednich (bez udziału serwisu), na minimum trzech poziomach w celu dostosowania wysokości najazdowej noszy, do wysokości podstawy noszy zamontowanej w ambulansie.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Możliwość ustawienia pozycji drenażowych (Trendelenburga i Fowlera na min.  3 poziomach pochylenia);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Wszystkie 4 kółka jezdne o średnicy min. 125 mm, minimum dwa skrętne w zakresie 360 </w:t>
            </w:r>
            <w:r>
              <w:rPr>
                <w:rFonts w:eastAsia="Courier New"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eastAsia="Courier New" w:ascii="Times New Roman" w:hAnsi="Times New Roman"/>
                <w:sz w:val="20"/>
                <w:szCs w:val="20"/>
              </w:rPr>
              <w:t>, hamulce na dwóch kółkach.(hamulec ma uniemożliwić obrót kółek oraz funkcję skrętu)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Transporter ma umożliwiać prowadzenie noszy w bok do kierunku jazdy.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Transporter wyposażony w dodatkowe uchylne uchwyty, ułatwiające pracę w przypadku transportu pacjentów bariatrycznych.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Transporter ma posiadać możliwość złożenia do minimalnego poziomu wysokości poprzez zwolnienie dedykowanych blokad, bez konieczności wykonywania dodatkowych absorbujących czynności np. Ustawianie kół do jazdy „na wprost” , uruchamianie blokady kół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Obciążenie dopuszczalne transportera powyżej 200 kg (podać dopuszczalne obciążenie w kg);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-podać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waga transportera max. 28 kg zgodnie z wymogami normy PN EN 1865 (podać wagę transportera w kg);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podać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Transporter musi być zabezpieczony przed korozją poprzez wykonanie z odpowiedniego materiału lub poprzez zabezpieczenie środkami antykorozyjnymi;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exact" w:line="210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>Gwarancja min. 24  miesiące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exact" w:line="210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exact" w:line="210" w:before="0" w:after="160"/>
              <w:rPr/>
            </w:pPr>
            <w:bookmarkStart w:id="3" w:name="__DdeLink__7974_541661932"/>
            <w:bookmarkEnd w:id="3"/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Deklaracja zgodności CE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exact" w:line="210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Pozytywnie przeprowadzony test dynamiczny 10 G, zgodnie z wymaganiami normy PN EN 1789-załączyć  raport wystawiony przez niezależną  jednostkę notyfikowaną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color w:val="000000"/>
                <w:sz w:val="20"/>
                <w:szCs w:val="20"/>
                <w:lang w:eastAsia="pl-PL"/>
              </w:rPr>
              <w:t>System mocowania transportera na podstawie musi być zgodny z wymogami PN EN 1789 +A1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ndale Sans UI" w:ascii="Times New Roman" w:hAnsi="Times New Roman"/>
                <w:sz w:val="20"/>
                <w:szCs w:val="20"/>
                <w:lang w:val="de-DE" w:eastAsia="ar-SA" w:bidi="fa-IR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ourier New"/>
                <w:sz w:val="20"/>
                <w:szCs w:val="20"/>
              </w:rPr>
            </w:pPr>
            <w:r>
              <w:rPr>
                <w:rFonts w:eastAsia="Courier New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Andale Sans UI"/>
          <w:lang w:eastAsia="pl-PL" w:bidi="fa-IR"/>
        </w:rPr>
      </w:pPr>
      <w:r>
        <w:rPr>
          <w:rFonts w:eastAsia="Andale Sans UI" w:ascii="Times New Roman" w:hAnsi="Times New Roman"/>
          <w:lang w:eastAsia="pl-PL" w:bidi="fa-IR"/>
        </w:rPr>
      </w:r>
    </w:p>
    <w:p>
      <w:pPr>
        <w:pStyle w:val="Normal"/>
        <w:shd w:val="clear" w:color="auto" w:fill="D5DCE4" w:themeFill="text2" w:themeFillTint="33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fill="EEECE1" w:val="clear"/>
        </w:rPr>
        <w:t>URZĄDZENIE PRZENOŚNE DO MECHANICZNEJ KOMPRESJI KLATKI PIERSIOWEJ – 1 sztuka</w:t>
      </w:r>
    </w:p>
    <w:tbl>
      <w:tblPr>
        <w:tblW w:w="15122" w:type="dxa"/>
        <w:jc w:val="left"/>
        <w:tblInd w:w="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2"/>
        <w:gridCol w:w="6236"/>
        <w:gridCol w:w="2"/>
        <w:gridCol w:w="3119"/>
        <w:gridCol w:w="5102"/>
      </w:tblGrid>
      <w:tr>
        <w:trPr/>
        <w:tc>
          <w:tcPr>
            <w:tcW w:w="151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urządzenia:</w:t>
            </w:r>
          </w:p>
        </w:tc>
      </w:tr>
      <w:tr>
        <w:trPr/>
        <w:tc>
          <w:tcPr>
            <w:tcW w:w="151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fill="FFFFFF" w:val="clear"/>
              </w:rPr>
              <w:t xml:space="preserve">Producent:     </w:t>
            </w:r>
          </w:p>
        </w:tc>
      </w:tr>
      <w:tr>
        <w:trPr/>
        <w:tc>
          <w:tcPr>
            <w:tcW w:w="151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fill="FFFFFF" w:val="clear"/>
              </w:rPr>
              <w:t>Model/typ:  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</w:r>
          </w:p>
        </w:tc>
      </w:tr>
      <w:tr>
        <w:trPr/>
        <w:tc>
          <w:tcPr>
            <w:tcW w:w="151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fill="FFFFFF" w:val="clear"/>
              </w:rPr>
              <w:t>Rok produkcji: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</w:r>
          </w:p>
        </w:tc>
      </w:tr>
      <w:tr>
        <w:trPr/>
        <w:tc>
          <w:tcPr>
            <w:tcW w:w="6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FF" w:val="clear"/>
              </w:rPr>
              <w:t>Parametry wymagane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Parametr oferowany (opis)</w:t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Urządzenie fabrycznie nowe (rok produkcji 2019)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Urządzenie przenośne do mechanicznej kompresji klatki piersiowej służące do resuscytacji krążeniowo – oddechowej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Głębokość i częstotliwość ucisków klatki piersiowej – zgodnie z wytycznymi ERC 2015</w:t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pacing w:lineRule="auto" w:line="240" w:before="28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Głębokości uciśnięć klatki piersiowej dostosowywana automatycznie do oporu klatki piersiowej pacjenta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zasilanie 12V DC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zasilanie 220V-240V AC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możliwość ładowania urządzenia w trakcie czynności RKO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ładowarka akumulatora zintegrowane z urządzeniem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wskaźnik naładowania baterii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torba/plecak wykonana z materiału łatwego do czyszczenia i dezynfekcji, wyposażony w uchwyty umożliwiające transport urządzenia w różnych pozycjach (np. na plecach, przez ramię lub w ręce)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 xml:space="preserve">urządzenie przenośne do kompresji klatki piersiowej wraz z zestawem do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ładowania oraz baterią (akumulatorem) Li – polimerowym</w:t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spełnienie normy IP 43 lub wyższej</w:t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Zewnętrzne wyprowadzenie gniazda (portu) ładowania urządzenia (dostęp do gniazda bez konieczności wyciągania urządzenia z torby/plecaka)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Możliwość archiwizowania danych dot. pracy urządzenia z możliwością ich gromadzenia, przetwarzania i analizy (pozwalające na ich wykorzystanie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w badaniach klinicznych), współpraca z systemem operacyjnym Microsoft Windows® 7-10.</w:t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ourier New" w:ascii="Times New Roman" w:hAnsi="Times New Roman"/>
                <w:sz w:val="20"/>
                <w:szCs w:val="20"/>
              </w:rPr>
              <w:t xml:space="preserve">Deklaracja zgodności CE </w:t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Andale Sans UI"/>
          <w:sz w:val="20"/>
          <w:szCs w:val="20"/>
          <w:lang w:eastAsia="pl-PL" w:bidi="fa-IR"/>
        </w:rPr>
      </w:pPr>
      <w:r>
        <w:rPr>
          <w:rFonts w:eastAsia="Andale Sans UI" w:ascii="Times New Roman" w:hAnsi="Times New Roman"/>
          <w:sz w:val="20"/>
          <w:szCs w:val="20"/>
          <w:lang w:eastAsia="pl-PL" w:bidi="fa-I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ndale Sans UI"/>
          <w:sz w:val="20"/>
          <w:szCs w:val="20"/>
          <w:lang w:eastAsia="pl-PL" w:bidi="fa-IR"/>
        </w:rPr>
      </w:pPr>
      <w:r>
        <w:rPr>
          <w:rFonts w:eastAsia="Andale Sans UI" w:ascii="Times New Roman" w:hAnsi="Times New Roman"/>
          <w:sz w:val="20"/>
          <w:szCs w:val="20"/>
          <w:lang w:eastAsia="pl-PL" w:bidi="fa-I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ndale Sans UI"/>
          <w:sz w:val="20"/>
          <w:szCs w:val="20"/>
          <w:lang w:eastAsia="pl-PL" w:bidi="fa-IR"/>
        </w:rPr>
      </w:pPr>
      <w:r>
        <w:rPr>
          <w:rFonts w:eastAsia="Andale Sans UI" w:ascii="Times New Roman" w:hAnsi="Times New Roman"/>
          <w:sz w:val="20"/>
          <w:szCs w:val="20"/>
          <w:lang w:eastAsia="pl-PL" w:bidi="fa-IR"/>
        </w:rPr>
        <w:t>Zamawiający informuje, że ilekroć przedmiot zamówienia określony w specyfikacji istotnych warunków zamówienia opisany jest przez wskazanie znaku towarowego, patentu lub pochodzenia dopuszcza się rozwiązania równoważne tzn. posiadające cechy, parametry, zastosowanie nie gorsze niż opisane w przedmiocie zamówienia. Wykazanie równoważności zaoferowanego przedmiotu spoczywa na Wykonawcy.</w:t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uppressAutoHyphens w:val="true"/>
        <w:spacing w:lineRule="atLeast" w:line="100" w:before="60" w:after="120"/>
        <w:jc w:val="both"/>
        <w:textAlignment w:val="baseline"/>
        <w:rPr>
          <w:rFonts w:ascii="Times New Roman" w:hAnsi="Times New Roman" w:eastAsia="Andale Sans UI"/>
          <w:b/>
          <w:b/>
          <w:sz w:val="20"/>
          <w:szCs w:val="20"/>
          <w:lang w:val="de-DE" w:eastAsia="ar-SA"/>
        </w:rPr>
      </w:pPr>
      <w:r>
        <w:rPr>
          <w:rFonts w:eastAsia="Andale Sans UI" w:ascii="Times New Roman" w:hAnsi="Times New Roman"/>
          <w:b/>
          <w:sz w:val="20"/>
          <w:szCs w:val="20"/>
          <w:lang w:val="pl-PL" w:eastAsia="ar-SA" w:bidi="ar-SA"/>
        </w:rPr>
        <w:t>UWAGA: Nie spełnienie wymaganych warunków spowoduje odrzucenie oferty.</w:t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uppressAutoHyphens w:val="true"/>
        <w:spacing w:lineRule="atLeast" w:line="100" w:before="60" w:after="120"/>
        <w:jc w:val="both"/>
        <w:textAlignment w:val="baseline"/>
        <w:rPr>
          <w:rFonts w:ascii="Times New Roman" w:hAnsi="Times New Roman" w:eastAsia="Andale Sans UI"/>
          <w:b/>
          <w:b/>
          <w:sz w:val="20"/>
          <w:szCs w:val="20"/>
          <w:lang w:val="pl-PL" w:eastAsia="ar-SA" w:bidi="ar-SA"/>
        </w:rPr>
      </w:pPr>
      <w:r>
        <w:rPr>
          <w:rFonts w:eastAsia="Andale Sans UI" w:ascii="Times New Roman" w:hAnsi="Times New Roman"/>
          <w:b/>
          <w:sz w:val="20"/>
          <w:szCs w:val="20"/>
          <w:lang w:val="pl-PL" w:eastAsia="ar-SA" w:bidi="ar-SA"/>
        </w:rPr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uppressAutoHyphens w:val="true"/>
        <w:spacing w:lineRule="atLeast" w:line="100" w:before="60" w:after="120"/>
        <w:jc w:val="both"/>
        <w:textAlignment w:val="baseline"/>
        <w:rPr>
          <w:rFonts w:ascii="Times New Roman" w:hAnsi="Times New Roman" w:eastAsia="Andale Sans UI"/>
          <w:b/>
          <w:b/>
          <w:sz w:val="20"/>
          <w:szCs w:val="20"/>
          <w:lang w:val="de-DE" w:eastAsia="ar-SA"/>
        </w:rPr>
      </w:pPr>
      <w:r>
        <w:rPr>
          <w:rFonts w:eastAsia="Andale Sans UI" w:ascii="Times New Roman" w:hAnsi="Times New Roman"/>
          <w:b/>
          <w:sz w:val="20"/>
          <w:szCs w:val="20"/>
          <w:lang w:val="de-DE" w:eastAsia="ar-SA"/>
        </w:rPr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uppressAutoHyphens w:val="true"/>
        <w:spacing w:lineRule="atLeast" w:line="100" w:before="60" w:after="120"/>
        <w:jc w:val="both"/>
        <w:textAlignment w:val="baseline"/>
        <w:rPr>
          <w:rFonts w:ascii="Times New Roman" w:hAnsi="Times New Roman" w:eastAsia="Andale Sans UI"/>
          <w:b/>
          <w:b/>
          <w:sz w:val="20"/>
          <w:szCs w:val="20"/>
          <w:lang w:val="de-DE" w:eastAsia="ar-SA"/>
        </w:rPr>
      </w:pPr>
      <w:r>
        <w:rPr>
          <w:rFonts w:eastAsia="Andale Sans UI" w:ascii="Times New Roman" w:hAnsi="Times New Roman"/>
          <w:b/>
          <w:sz w:val="20"/>
          <w:szCs w:val="20"/>
          <w:lang w:val="de-DE" w:eastAsia="ar-SA"/>
        </w:rPr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uppressAutoHyphens w:val="true"/>
        <w:spacing w:lineRule="atLeast" w:line="100" w:before="60" w:after="120"/>
        <w:jc w:val="both"/>
        <w:textAlignment w:val="baseline"/>
        <w:rPr>
          <w:rFonts w:ascii="Times New Roman" w:hAnsi="Times New Roman" w:eastAsia="Andale Sans UI"/>
          <w:b/>
          <w:b/>
          <w:sz w:val="20"/>
          <w:szCs w:val="20"/>
          <w:lang w:val="de-DE" w:eastAsia="ar-SA"/>
        </w:rPr>
      </w:pPr>
      <w:r>
        <w:rPr>
          <w:rFonts w:eastAsia="Andale Sans UI" w:ascii="Times New Roman" w:hAnsi="Times New Roman"/>
          <w:b/>
          <w:sz w:val="20"/>
          <w:szCs w:val="20"/>
          <w:lang w:val="de-DE" w:eastAsia="ar-SA"/>
        </w:rPr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uppressAutoHyphens w:val="true"/>
        <w:spacing w:lineRule="atLeast" w:line="100" w:before="60" w:after="120"/>
        <w:jc w:val="both"/>
        <w:textAlignment w:val="baseline"/>
        <w:rPr>
          <w:rFonts w:ascii="Times New Roman" w:hAnsi="Times New Roman" w:eastAsia="Andale Sans UI"/>
          <w:b/>
          <w:b/>
          <w:sz w:val="20"/>
          <w:szCs w:val="20"/>
          <w:lang w:val="de-DE" w:eastAsia="ar-SA"/>
        </w:rPr>
      </w:pPr>
      <w:r>
        <w:rPr>
          <w:rFonts w:eastAsia="Andale Sans UI" w:ascii="Times New Roman" w:hAnsi="Times New Roman"/>
          <w:b/>
          <w:sz w:val="20"/>
          <w:szCs w:val="20"/>
          <w:lang w:val="de-DE" w:eastAsia="ar-SA"/>
        </w:rPr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uppressAutoHyphens w:val="true"/>
        <w:spacing w:lineRule="atLeast" w:line="100" w:before="60" w:after="120"/>
        <w:jc w:val="both"/>
        <w:textAlignment w:val="baseline"/>
        <w:rPr>
          <w:rFonts w:ascii="Times New Roman" w:hAnsi="Times New Roman" w:eastAsia="Andale Sans UI"/>
          <w:sz w:val="20"/>
          <w:szCs w:val="20"/>
          <w:lang w:val="de-DE" w:eastAsia="ar-SA"/>
        </w:rPr>
      </w:pPr>
      <w:r>
        <w:rPr>
          <w:rFonts w:eastAsia="Andale Sans UI" w:ascii="Times New Roman" w:hAnsi="Times New Roman"/>
          <w:sz w:val="20"/>
          <w:szCs w:val="20"/>
          <w:lang w:val="de-DE" w:eastAsia="ar-SA"/>
        </w:rPr>
      </w:r>
    </w:p>
    <w:p>
      <w:pPr>
        <w:pStyle w:val="Wcicietrecitekstu"/>
        <w:ind w:lef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...........................................................                                          </w:t>
        <w:tab/>
        <w:tab/>
        <w:tab/>
        <w:tab/>
        <w:t xml:space="preserve">               </w:t>
        <w:tab/>
        <w:tab/>
        <w:tab/>
        <w:t xml:space="preserve">  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eastAsia="Arial"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>(miejscowość i data)</w:t>
        <w:tab/>
        <w:tab/>
        <w:t xml:space="preserve">                                           </w:t>
        <w:tab/>
        <w:tab/>
        <w:tab/>
        <w:tab/>
        <w:tab/>
        <w:tab/>
        <w:tab/>
        <w:t xml:space="preserve">       (pieczątka i podpis Wykonawcy)</w:t>
      </w:r>
    </w:p>
    <w:p>
      <w:pPr>
        <w:pStyle w:val="Normal"/>
        <w:widowControl w:val="false"/>
        <w:suppressAutoHyphens w:val="true"/>
        <w:spacing w:lineRule="auto" w:line="288" w:before="0" w:after="0"/>
        <w:textAlignment w:val="baseline"/>
        <w:rPr>
          <w:rFonts w:ascii="Times New Roman" w:hAnsi="Times New Roman" w:eastAsia="Andale Sans UI"/>
          <w:color w:val="FF0000"/>
          <w:sz w:val="20"/>
          <w:szCs w:val="20"/>
          <w:lang w:val="de-DE" w:eastAsia="ar-SA" w:bidi="fa-IR"/>
        </w:rPr>
      </w:pPr>
      <w:bookmarkStart w:id="4" w:name="__UnoMark__5083_898984128"/>
      <w:bookmarkStart w:id="5" w:name="__UnoMark__5083_898984128"/>
      <w:bookmarkEnd w:id="5"/>
      <w:r>
        <w:rPr>
          <w:rFonts w:eastAsia="Andale Sans UI" w:ascii="Times New Roman" w:hAnsi="Times New Roman"/>
          <w:color w:val="FF0000"/>
          <w:sz w:val="20"/>
          <w:szCs w:val="20"/>
          <w:lang w:val="de-DE" w:eastAsia="ar-SA" w:bidi="fa-IR"/>
        </w:rPr>
      </w:r>
    </w:p>
    <w:p>
      <w:pPr>
        <w:pStyle w:val="Normal"/>
        <w:widowControl w:val="false"/>
        <w:suppressAutoHyphens w:val="true"/>
        <w:spacing w:lineRule="auto" w:line="288" w:before="0" w:after="0"/>
        <w:textAlignment w:val="baseline"/>
        <w:rPr>
          <w:rFonts w:ascii="Times New Roman" w:hAnsi="Times New Roman" w:eastAsia="Andale Sans UI"/>
          <w:sz w:val="20"/>
          <w:szCs w:val="20"/>
          <w:lang w:val="de-DE" w:eastAsia="fa-IR" w:bidi="fa-IR"/>
        </w:rPr>
      </w:pPr>
      <w:r>
        <w:rPr>
          <w:rFonts w:eastAsia="Andale Sans UI" w:ascii="Times New Roman" w:hAnsi="Times New Roman"/>
          <w:sz w:val="20"/>
          <w:szCs w:val="20"/>
          <w:lang w:val="de-DE" w:eastAsia="fa-IR" w:bidi="fa-IR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4f1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c55326"/>
    <w:rPr>
      <w:rFonts w:ascii="Arial Unicode MS" w:hAnsi="Arial Unicode MS" w:eastAsia="Arial Unicode MS" w:cs="Arial Unicode MS"/>
      <w:color w:val="000000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64f19"/>
    <w:pPr>
      <w:widowControl w:val="false"/>
      <w:suppressAutoHyphens w:val="true"/>
      <w:spacing w:lineRule="atLeast" w:line="100" w:before="0" w:after="0"/>
      <w:ind w:left="720" w:hanging="0"/>
      <w:textAlignment w:val="baseline"/>
    </w:pPr>
    <w:rPr>
      <w:rFonts w:ascii="Times New Roman" w:hAnsi="Times New Roman" w:eastAsia="Andale Sans UI" w:cs="Tahoma"/>
      <w:sz w:val="24"/>
      <w:szCs w:val="24"/>
      <w:lang w:val="de-DE" w:eastAsia="fa-IR" w:bidi="fa-IR"/>
    </w:rPr>
  </w:style>
  <w:style w:type="paragraph" w:styleId="Wcicietrecitekstu">
    <w:name w:val="Body Text Indent"/>
    <w:basedOn w:val="Normal"/>
    <w:link w:val="TekstpodstawowywcityZnak"/>
    <w:semiHidden/>
    <w:unhideWhenUsed/>
    <w:rsid w:val="00c55326"/>
    <w:pPr>
      <w:suppressAutoHyphens w:val="true"/>
      <w:spacing w:lineRule="auto" w:line="240" w:before="0" w:after="120"/>
      <w:ind w:left="283" w:hanging="0"/>
    </w:pPr>
    <w:rPr>
      <w:rFonts w:ascii="Arial Unicode MS" w:hAnsi="Arial Unicode MS" w:eastAsia="Arial Unicode MS" w:cs="Arial Unicode MS"/>
      <w:color w:val="000000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LibreOffice/5.2.2.2$Windows_x86 LibreOffice_project/8f96e87c890bf8fa77463cd4b640a2312823f3ad</Application>
  <Pages>17</Pages>
  <Words>4068</Words>
  <Characters>26504</Characters>
  <CharactersWithSpaces>31121</CharactersWithSpaces>
  <Paragraphs>628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2019-08-23T08:41:00Z</dcterms:created>
  <dc:creator>user</dc:creator>
  <dc:description/>
  <dc:language>pl-PL</dc:language>
  <cp:lastModifiedBy/>
  <cp:lastPrinted>2019-08-23T18:48:46Z</cp:lastPrinted>
  <dcterms:modified xsi:type="dcterms:W3CDTF">2019-08-29T13:59:25Z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