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 xml:space="preserve">Samodzielny Publiczny </w:t>
        <w:tab/>
        <w:tab/>
        <w:tab/>
        <w:tab/>
        <w:t xml:space="preserve">                       Proszowice, dnia 04.12.2017 r.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Zespół Opieki Zdrowotnej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ul. Kopernika 13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32-100 Proszowice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Uczestnicy postępowania prowadzonego w trybie przetargu nieograniczonego</w:t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na</w:t>
      </w:r>
      <w:r>
        <w:rPr>
          <w:rFonts w:eastAsia="Calibri" w:cs="Calibri"/>
          <w:b/>
          <w:bCs/>
          <w:sz w:val="22"/>
          <w:szCs w:val="22"/>
          <w:u w:val="none"/>
          <w:lang w:val="pl-PL"/>
        </w:rPr>
        <w:t xml:space="preserve"> </w:t>
      </w:r>
      <w:r>
        <w:rPr>
          <w:rStyle w:val="Mocnowyrniony"/>
          <w:rFonts w:eastAsia="Calibri" w:cs="Calibri"/>
          <w:i w:val="false"/>
          <w:caps w:val="false"/>
          <w:smallCaps w:val="false"/>
          <w:color w:val="000000"/>
          <w:spacing w:val="0"/>
          <w:sz w:val="22"/>
          <w:szCs w:val="22"/>
          <w:u w:val="none"/>
          <w:lang w:val="pl-PL"/>
        </w:rPr>
        <w:t>Dostawa do magazynu Apteki szpitalnej wyrobów medycznych i produktów leczniczych.</w:t>
      </w:r>
      <w:r>
        <w:rPr>
          <w:rStyle w:val="Mocnowyrniony"/>
          <w:rFonts w:eastAsia="Calibri" w:cs="Calibri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u w:val="none"/>
          <w:lang w:val="pl-PL"/>
        </w:rPr>
        <w:t xml:space="preserve"> </w:t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>Oznaczenie sprawy: 30/ZP/2017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highlight w:val="white"/>
        </w:rPr>
        <w:t>W związku z wniesieniem zapytań przez Wykonawców, Zamawiający przedstawia treść pytań              i udziela pisemnych wyjaśnień zgodnie z art. 38 ust. 2 ustawy z dnia 29 stycznia 2004 roku Prawo zamówień publicznych  (Dz. U. z 2017 r. poz. 1579 z późniejszymi zmianami).</w:t>
      </w:r>
    </w:p>
    <w:p>
      <w:pPr>
        <w:pStyle w:val="Normal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2"/>
          <w:szCs w:val="22"/>
          <w:highlight w:val="white"/>
          <w:u w:val="single"/>
        </w:rPr>
      </w:pPr>
      <w:r>
        <w:rPr>
          <w:b/>
          <w:bCs/>
          <w:i w:val="false"/>
          <w:iCs w:val="false"/>
          <w:sz w:val="22"/>
          <w:szCs w:val="22"/>
          <w:highlight w:val="white"/>
          <w:u w:val="single"/>
        </w:rPr>
      </w:r>
    </w:p>
    <w:p>
      <w:pPr>
        <w:pStyle w:val="Normal"/>
        <w:jc w:val="both"/>
        <w:rPr/>
      </w:pPr>
      <w:r>
        <w:rPr>
          <w:b/>
          <w:bCs/>
          <w:u w:val="single"/>
        </w:rPr>
        <w:t>Pytanie 1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Pakiet 9</w:t>
      </w: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„</w:t>
      </w:r>
      <w:r>
        <w:rPr/>
        <w:t>Czy Zamawiający wyrazi zgodę na wydzielenie z pakietu nr 9 poz. 2, poz.14, poz.15, poz.17  i poz. 18 do osobnego pakietu celem umożliwienia przystąpienia większej ilości oferentów do procedury przetargowej i uzyskania korzystniejszej oferty cenowej.”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jc w:val="both"/>
        <w:rPr/>
      </w:pPr>
      <w:r>
        <w:rPr>
          <w:b w:val="false"/>
          <w:bCs w:val="false"/>
        </w:rPr>
        <w:t>Zamawiający nie wyraża zgody.</w:t>
      </w:r>
    </w:p>
    <w:p>
      <w:pPr>
        <w:pStyle w:val="Normal"/>
        <w:jc w:val="both"/>
        <w:rPr>
          <w:b w:val="false"/>
          <w:b w:val="false"/>
          <w:bCs w:val="false"/>
          <w:highlight w:val="yellow"/>
        </w:rPr>
      </w:pPr>
      <w:r>
        <w:rPr>
          <w:b w:val="false"/>
          <w:bCs w:val="false"/>
          <w:highlight w:val="yellow"/>
        </w:rPr>
      </w:r>
    </w:p>
    <w:p>
      <w:pPr>
        <w:pStyle w:val="Normal"/>
        <w:jc w:val="both"/>
        <w:rPr/>
      </w:pPr>
      <w:r>
        <w:rPr>
          <w:b/>
          <w:bCs/>
          <w:u w:val="single"/>
        </w:rPr>
        <w:t>Pytanie 2</w:t>
      </w:r>
    </w:p>
    <w:p>
      <w:pPr>
        <w:pStyle w:val="Normal"/>
        <w:jc w:val="both"/>
        <w:rPr>
          <w:b/>
          <w:b/>
          <w:bCs/>
          <w:highlight w:val="yellow"/>
          <w:u w:val="single"/>
        </w:rPr>
      </w:pPr>
      <w:r>
        <w:rPr>
          <w:b/>
          <w:bCs/>
          <w:u w:val="single"/>
        </w:rPr>
        <w:t xml:space="preserve">Pakiet 9 poz. 2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  <w:t>„</w:t>
      </w:r>
      <w:r>
        <w:rPr>
          <w:b w:val="false"/>
          <w:bCs w:val="false"/>
        </w:rPr>
        <w:t>Do jakiego urządzenia mają pasować czujniki tlenu z pozycji nr 2. Prosimy o podanie modelu.”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jc w:val="both"/>
        <w:rPr/>
      </w:pPr>
      <w:r>
        <w:rPr>
          <w:b w:val="false"/>
          <w:bCs w:val="false"/>
        </w:rPr>
        <w:t>Czujniki tlenu muszą być kompatybilne z urządzeniami typu Fabius, Evita.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b/>
          <w:bCs/>
          <w:u w:val="single"/>
        </w:rPr>
        <w:t>Pytanie 3</w:t>
      </w:r>
    </w:p>
    <w:p>
      <w:pPr>
        <w:pStyle w:val="Normal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highlight w:val="white"/>
          <w:u w:val="none"/>
          <w:lang w:eastAsia="pl-PL"/>
        </w:rPr>
      </w:pPr>
      <w:r>
        <w:rPr>
          <w:rFonts w:cs="Times New Roman"/>
          <w:b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eastAsia="pl-PL"/>
        </w:rPr>
        <w:t>Pakiet 9 poz. 14</w:t>
      </w:r>
      <w:r>
        <w:rPr>
          <w:rFonts w:cs="Times New Roman"/>
          <w:b w:val="false"/>
          <w:bCs w:val="false"/>
          <w:i w:val="false"/>
          <w:iCs w:val="false"/>
          <w:color w:val="000000"/>
          <w:sz w:val="24"/>
          <w:szCs w:val="24"/>
          <w:highlight w:val="white"/>
          <w:u w:val="none"/>
          <w:lang w:eastAsia="pl-PL"/>
        </w:rPr>
        <w:t xml:space="preserve"> 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cs="Times New Roman"/>
          <w:i w:val="false"/>
          <w:iCs w:val="false"/>
          <w:sz w:val="24"/>
          <w:szCs w:val="24"/>
          <w:highlight w:val="white"/>
          <w:u w:val="none"/>
          <w:lang w:eastAsia="pl-PL"/>
        </w:rPr>
        <w:t>„</w:t>
      </w:r>
      <w:r>
        <w:rPr>
          <w:rFonts w:cs="Times New Roman"/>
          <w:i w:val="false"/>
          <w:iCs w:val="false"/>
          <w:sz w:val="24"/>
          <w:szCs w:val="24"/>
          <w:highlight w:val="white"/>
          <w:u w:val="none"/>
          <w:lang w:eastAsia="pl-PL"/>
        </w:rPr>
        <w:t xml:space="preserve">Dla kogo mają być przeznaczone czujniki SpO2 ?” 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cs="Times New Roman"/>
          <w:i w:val="false"/>
          <w:iCs w:val="false"/>
          <w:sz w:val="24"/>
          <w:szCs w:val="24"/>
          <w:highlight w:val="white"/>
          <w:u w:val="none"/>
          <w:lang w:eastAsia="pl-PL"/>
        </w:rPr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Czujniki saturacji mają być przeznaczone dla osób dorosłych.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4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highlight w:val="yellow"/>
        </w:rPr>
      </w:pPr>
      <w:r>
        <w:rPr>
          <w:rFonts w:cs="Times New Roman"/>
          <w:b/>
          <w:bCs w:val="false"/>
          <w:i w:val="false"/>
          <w:iCs w:val="false"/>
          <w:sz w:val="24"/>
          <w:szCs w:val="24"/>
          <w:u w:val="none"/>
          <w:lang w:eastAsia="pl-PL"/>
        </w:rPr>
        <w:t>Pakiet 9 poz. 15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 xml:space="preserve"> 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cs="Times New Roman"/>
          <w:i w:val="false"/>
          <w:iCs w:val="false"/>
          <w:sz w:val="24"/>
          <w:szCs w:val="24"/>
          <w:highlight w:val="white"/>
          <w:u w:val="none"/>
          <w:lang w:eastAsia="pl-PL"/>
        </w:rPr>
        <w:t>„</w:t>
      </w:r>
      <w:r>
        <w:rPr>
          <w:rFonts w:cs="Times New Roman"/>
          <w:i w:val="false"/>
          <w:iCs w:val="false"/>
          <w:sz w:val="24"/>
          <w:szCs w:val="24"/>
          <w:highlight w:val="white"/>
          <w:u w:val="none"/>
          <w:lang w:eastAsia="pl-PL"/>
        </w:rPr>
        <w:t>Czy zamawiający pozwoli na zaproponowanie przewodu o długości 2,4 m. Do jakiego             urządzenia mają pasować przewody ? Prosimy o podanie modelu.”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cs="Times New Roman"/>
          <w:i w:val="false"/>
          <w:iCs w:val="false"/>
          <w:sz w:val="24"/>
          <w:szCs w:val="24"/>
          <w:highlight w:val="white"/>
          <w:u w:val="none"/>
          <w:lang w:eastAsia="pl-PL"/>
        </w:rPr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Przewody maja pasować do urządzenia typu Delta, Gamma. Zamawiający oczekuje przewodu o długości wskazanej w SIWZ.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cs="Times New Roman"/>
          <w:i w:val="false"/>
          <w:iCs w:val="false"/>
          <w:sz w:val="24"/>
          <w:szCs w:val="24"/>
          <w:highlight w:val="white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5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/>
          <w:bCs w:val="false"/>
          <w:i w:val="false"/>
          <w:iCs w:val="false"/>
          <w:sz w:val="24"/>
          <w:szCs w:val="24"/>
          <w:u w:val="none"/>
          <w:lang w:eastAsia="pl-PL"/>
        </w:rPr>
        <w:t>Pakiet 9 poz. 17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„</w:t>
      </w:r>
      <w:r>
        <w:rPr>
          <w:b w:val="false"/>
          <w:bCs w:val="false"/>
        </w:rPr>
        <w:t xml:space="preserve">Czy zamawiający pozwoli na zaproponowanie przewodu o długości 2,4 m ?” 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Zgodnie z SIWZ.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6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/>
          <w:bCs w:val="false"/>
          <w:i w:val="false"/>
          <w:iCs w:val="false"/>
          <w:sz w:val="24"/>
          <w:szCs w:val="24"/>
          <w:u w:val="none"/>
          <w:lang w:eastAsia="pl-PL"/>
        </w:rPr>
        <w:t>Pakiet 9 poz. 11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i w:val="false"/>
          <w:iCs w:val="false"/>
          <w:sz w:val="24"/>
          <w:szCs w:val="24"/>
          <w:highlight w:val="white"/>
          <w:u w:val="none"/>
          <w:lang w:eastAsia="pl-PL"/>
        </w:rPr>
        <w:t>„</w:t>
      </w:r>
      <w:r>
        <w:rPr/>
        <w:t xml:space="preserve">Czy zamawiający pozwoli na zaproponowanie przewodu o długości 2,4 m ?” 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Zgodnie z SIWZ.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/>
          <w:bCs/>
          <w:i w:val="false"/>
          <w:iCs w:val="false"/>
          <w:sz w:val="24"/>
          <w:szCs w:val="24"/>
          <w:highlight w:val="white"/>
          <w:u w:val="single"/>
          <w:lang w:eastAsia="pl-PL"/>
        </w:rPr>
        <w:t>Pytanie 7</w:t>
      </w:r>
    </w:p>
    <w:p>
      <w:pPr>
        <w:pStyle w:val="ListParagraph"/>
        <w:widowControl/>
        <w:numPr>
          <w:ilvl w:val="0"/>
          <w:numId w:val="0"/>
        </w:numPr>
        <w:suppressAutoHyphens w:val="fals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 w:ascii="Times New Roman" w:hAnsi="Times New Roman"/>
          <w:color w:val="000000"/>
          <w:sz w:val="24"/>
          <w:szCs w:val="24"/>
          <w:lang w:val="pl-PL"/>
        </w:rPr>
        <w:t>„</w:t>
      </w:r>
      <w:r>
        <w:rPr>
          <w:rFonts w:cs="Arial" w:ascii="Times New Roman" w:hAnsi="Times New Roman"/>
          <w:color w:val="000000"/>
          <w:sz w:val="24"/>
          <w:szCs w:val="24"/>
          <w:lang w:val="pl-PL"/>
        </w:rPr>
        <w:t>Czy Zamawiający w Pakiecie VI  poz. 37  „</w:t>
      </w:r>
      <w:r>
        <w:rPr>
          <w:rFonts w:cs="Arial" w:ascii="Times New Roman" w:hAnsi="Times New Roman"/>
          <w:sz w:val="24"/>
          <w:szCs w:val="24"/>
          <w:lang w:val="pl-PL"/>
        </w:rPr>
        <w:t>Nakłuwacze jednorazowe</w:t>
      </w:r>
      <w:r>
        <w:rPr>
          <w:rFonts w:cs="Arial" w:ascii="Times New Roman" w:hAnsi="Times New Roman"/>
          <w:color w:val="000000"/>
          <w:sz w:val="24"/>
          <w:szCs w:val="24"/>
          <w:lang w:val="pl-PL"/>
        </w:rPr>
        <w:t xml:space="preserve"> (…)” dopuści                     jednorazowe lancety o stałej głębokości nakłucia 1,5 mm i średnicy ostrza 28G, które                   umożliwiają pobranie próbki krwi z opuszki palca pacjenta lub z pięty noworodka? Budowa nakłuwacza w kształcie litery „T” umożliwia łatwą obsługę, a grubość igły 0.36 mm (28G) uzyskanie niezbędnej wielkość krwi przy zachowaniu minimalnej bolesności. Wszechstronne zastosowanie odpowiednie dla dorosłych, dzieci w wieku poniżej 1 roku życia                                  i noworodków.”</w:t>
      </w:r>
    </w:p>
    <w:p>
      <w:pPr>
        <w:pStyle w:val="ListParagraph"/>
        <w:widowControl/>
        <w:numPr>
          <w:ilvl w:val="0"/>
          <w:numId w:val="0"/>
        </w:numPr>
        <w:suppressAutoHyphens w:val="false"/>
        <w:spacing w:lineRule="auto" w:line="240" w:before="0" w:after="0"/>
        <w:ind w:left="786" w:right="0" w:hanging="0"/>
        <w:jc w:val="both"/>
        <w:rPr/>
      </w:pPr>
      <w:r>
        <w:rPr>
          <w:rFonts w:cs="Arial" w:ascii="Times New Roman" w:hAnsi="Times New Roman"/>
          <w:color w:val="000000"/>
          <w:sz w:val="24"/>
          <w:szCs w:val="24"/>
          <w:lang w:val="pl-PL"/>
        </w:rPr>
        <w:t xml:space="preserve"> </w:t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Zamawiający dopuszcza.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highlight w:val="yellow"/>
        </w:rPr>
      </w:pPr>
      <w:r>
        <w:rPr>
          <w:b w:val="false"/>
          <w:bCs w:val="false"/>
          <w:highlight w:val="yellow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highlight w:val="white"/>
          <w:u w:val="single"/>
          <w:lang w:eastAsia="pl-PL"/>
        </w:rPr>
        <w:t>Pytanie 8</w:t>
      </w:r>
    </w:p>
    <w:p>
      <w:pPr>
        <w:pStyle w:val="ListParagraph"/>
        <w:widowControl/>
        <w:numPr>
          <w:ilvl w:val="0"/>
          <w:numId w:val="0"/>
        </w:numPr>
        <w:suppressAutoHyphens w:val="false"/>
        <w:overflowPunct w:val="true"/>
        <w:bidi w:val="0"/>
        <w:spacing w:lineRule="atLeast" w:line="240" w:before="0" w:after="200"/>
        <w:ind w:left="0" w:right="0" w:hanging="0"/>
        <w:jc w:val="both"/>
        <w:rPr/>
      </w:pPr>
      <w:r>
        <w:rPr>
          <w:rFonts w:cs="Arial" w:ascii="Times New Roman" w:hAnsi="Times New Roman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„</w:t>
      </w:r>
      <w:r>
        <w:rPr>
          <w:rFonts w:cs="Arial" w:ascii="Times New Roman" w:hAnsi="Times New Roman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>Czy Zamawiający wyrazi zgodę na wydzielenie  poz. 37  „</w:t>
      </w:r>
      <w:r>
        <w:rPr>
          <w:rFonts w:cs="Arial" w:ascii="Times New Roman" w:hAnsi="Times New Roman"/>
          <w:i w:val="false"/>
          <w:iCs w:val="false"/>
          <w:sz w:val="24"/>
          <w:szCs w:val="24"/>
          <w:highlight w:val="white"/>
          <w:u w:val="none"/>
          <w:lang w:val="pl-PL" w:eastAsia="pl-PL"/>
        </w:rPr>
        <w:t>Nakłuwacze jednorazowe</w:t>
      </w:r>
      <w:r>
        <w:rPr>
          <w:rFonts w:cs="Arial" w:ascii="Times New Roman" w:hAnsi="Times New Roman"/>
          <w:i w:val="false"/>
          <w:iCs w:val="false"/>
          <w:color w:val="000000"/>
          <w:sz w:val="24"/>
          <w:szCs w:val="24"/>
          <w:highlight w:val="white"/>
          <w:u w:val="none"/>
          <w:lang w:val="pl-PL" w:eastAsia="pl-PL"/>
        </w:rPr>
        <w:t xml:space="preserve"> (…)”   z Pakietu VI do osobnego pakietu?”</w:t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Zgodnie z SIWZ.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highlight w:val="yellow"/>
        </w:rPr>
      </w:pPr>
      <w:r>
        <w:rPr>
          <w:b w:val="false"/>
          <w:bCs w:val="false"/>
          <w:highlight w:val="yellow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9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„</w:t>
      </w:r>
      <w:r>
        <w:rPr>
          <w:rFonts w:cs="Arial"/>
          <w:b w:val="false"/>
          <w:bCs w:val="false"/>
          <w:i w:val="false"/>
          <w:iCs w:val="false"/>
          <w:sz w:val="24"/>
          <w:szCs w:val="24"/>
          <w:u w:val="none"/>
          <w:lang w:val="pl-PL" w:eastAsia="pl-PL"/>
        </w:rPr>
        <w:t xml:space="preserve">Czy w </w:t>
      </w:r>
      <w:r>
        <w:rPr>
          <w:rFonts w:cs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l-PL" w:eastAsia="pl-PL"/>
        </w:rPr>
        <w:t>poz. 37  „</w:t>
      </w:r>
      <w:r>
        <w:rPr>
          <w:rFonts w:cs="Arial"/>
          <w:b w:val="false"/>
          <w:bCs w:val="false"/>
          <w:i w:val="false"/>
          <w:iCs w:val="false"/>
          <w:sz w:val="24"/>
          <w:szCs w:val="24"/>
          <w:u w:val="none"/>
          <w:lang w:val="pl-PL" w:eastAsia="pl-PL"/>
        </w:rPr>
        <w:t>Nakłuwacze jednorazowe</w:t>
      </w:r>
      <w:r>
        <w:rPr>
          <w:rFonts w:cs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pl-PL" w:eastAsia="pl-PL"/>
        </w:rPr>
        <w:t xml:space="preserve"> (…)”  w Pakiecie VI chodzi rzeczywiście                   o 10 000 opakowań czy 10 000 sztuk nakłuwaczy?”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cs="Times New Roman"/>
          <w:i w:val="false"/>
          <w:iCs w:val="false"/>
          <w:sz w:val="24"/>
          <w:szCs w:val="24"/>
          <w:highlight w:val="white"/>
          <w:u w:val="none"/>
          <w:lang w:eastAsia="pl-PL"/>
        </w:rPr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Ilość wymagana – 10 000 sztuk nakłuwaczy.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highlight w:val="yellow"/>
        </w:rPr>
      </w:pPr>
      <w:r>
        <w:rPr>
          <w:b w:val="false"/>
          <w:bCs w:val="false"/>
          <w:highlight w:val="yellow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10</w:t>
      </w:r>
    </w:p>
    <w:p>
      <w:pPr>
        <w:pStyle w:val="ListParagraph"/>
        <w:widowControl/>
        <w:numPr>
          <w:ilvl w:val="0"/>
          <w:numId w:val="0"/>
        </w:numPr>
        <w:suppressAutoHyphens w:val="false"/>
        <w:overflowPunct w:val="true"/>
        <w:bidi w:val="0"/>
        <w:spacing w:lineRule="atLeast" w:line="240" w:before="0" w:after="200"/>
        <w:ind w:left="0" w:right="0" w:hanging="0"/>
        <w:jc w:val="both"/>
        <w:rPr/>
      </w:pPr>
      <w:r>
        <w:rPr>
          <w:rFonts w:cs="Arial" w:ascii="Times New Roman" w:hAnsi="Times New Roman"/>
          <w:i w:val="false"/>
          <w:iCs w:val="false"/>
          <w:sz w:val="24"/>
          <w:szCs w:val="24"/>
          <w:highlight w:val="white"/>
          <w:u w:val="none"/>
          <w:lang w:val="pl-PL" w:eastAsia="pl-PL"/>
        </w:rPr>
        <w:t>„</w:t>
      </w:r>
      <w:r>
        <w:rPr>
          <w:rFonts w:cs="Arial" w:ascii="Times New Roman" w:hAnsi="Times New Roman"/>
          <w:i w:val="false"/>
          <w:iCs w:val="false"/>
          <w:sz w:val="24"/>
          <w:szCs w:val="24"/>
          <w:highlight w:val="white"/>
          <w:u w:val="none"/>
          <w:lang w:val="pl-PL" w:eastAsia="pl-PL"/>
        </w:rPr>
        <w:t>Dot. Par. 5 ust. 1 lit a) projektu umowy dla wyrobów medycznych - Czy Zamawiający                wyrazi zgodę na obniżenie kar umownych? Obecna wysokość kar umownych jest rażąco              wygórowana i nieadekwatna do ewentualnych uchybień w wykonaniu umowy.”</w:t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Zamawiający nie wyraża zgody.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highlight w:val="yellow"/>
        </w:rPr>
      </w:pPr>
      <w:r>
        <w:rPr>
          <w:b w:val="false"/>
          <w:bCs w:val="false"/>
          <w:highlight w:val="yellow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11</w:t>
      </w:r>
    </w:p>
    <w:p>
      <w:pPr>
        <w:pStyle w:val="ListParagraph"/>
        <w:widowControl/>
        <w:suppressAutoHyphens w:val="false"/>
        <w:overflowPunct w:val="true"/>
        <w:bidi w:val="0"/>
        <w:spacing w:lineRule="atLeast" w:line="240" w:before="0" w:after="200"/>
        <w:ind w:left="0" w:right="0" w:hanging="0"/>
        <w:jc w:val="both"/>
        <w:rPr/>
      </w:pPr>
      <w:r>
        <w:rPr>
          <w:rFonts w:cs="Arial" w:ascii="Times New Roman" w:hAnsi="Times New Roman"/>
          <w:i w:val="false"/>
          <w:iCs w:val="false"/>
          <w:sz w:val="24"/>
          <w:szCs w:val="24"/>
          <w:highlight w:val="white"/>
          <w:u w:val="none"/>
          <w:lang w:val="pl-PL" w:eastAsia="pl-PL"/>
        </w:rPr>
        <w:t>„</w:t>
      </w:r>
      <w:r>
        <w:rPr>
          <w:rFonts w:cs="Arial" w:ascii="Times New Roman" w:hAnsi="Times New Roman"/>
          <w:i w:val="false"/>
          <w:iCs w:val="false"/>
          <w:sz w:val="24"/>
          <w:szCs w:val="24"/>
          <w:highlight w:val="white"/>
          <w:u w:val="none"/>
          <w:lang w:val="pl-PL" w:eastAsia="pl-PL"/>
        </w:rPr>
        <w:t>Dot. Par. 5 ust. 1 lit b) ) projektu umowy dla wyrobów medycznych – Prosimy o obniżenie kary umownej do 1 % wartości, o której mowa w paragrafie 1 pkt 2 umowy”</w:t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Zamawiający nie wyraża zgody.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cs="Times New Roman"/>
          <w:i w:val="false"/>
          <w:iCs w:val="false"/>
          <w:sz w:val="24"/>
          <w:szCs w:val="24"/>
          <w:highlight w:val="white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12</w:t>
      </w:r>
    </w:p>
    <w:p>
      <w:pPr>
        <w:pStyle w:val="ListParagraph"/>
        <w:widowControl/>
        <w:numPr>
          <w:ilvl w:val="0"/>
          <w:numId w:val="0"/>
        </w:numPr>
        <w:suppressAutoHyphens w:val="false"/>
        <w:overflowPunct w:val="true"/>
        <w:bidi w:val="0"/>
        <w:spacing w:lineRule="atLeast" w:line="240" w:before="0" w:after="200"/>
        <w:ind w:left="0" w:right="0" w:hanging="0"/>
        <w:jc w:val="both"/>
        <w:rPr/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 w:eastAsia="pl-PL"/>
        </w:rPr>
        <w:t>„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pl-PL" w:eastAsia="pl-PL"/>
        </w:rPr>
        <w:t>Dot. Par. 5 ust. 2 i 3 ) projektu umowy dla wyrobów medycznych - Prosimy o modyfikację ww. postanowień wzoru umowy w taki sposób, aby wysokość kary umownej naliczana była od wartości wynagrodzenia brutto dot. niezrealizowanej części umowy.”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bookmarkStart w:id="0" w:name="__DdeLink__240_1038745804"/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</w:t>
      </w:r>
      <w:bookmarkEnd w:id="0"/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amawiający nie wyraża zgody.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13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Pakiet IV, Poz.1</w:t>
      </w:r>
    </w:p>
    <w:p>
      <w:pPr>
        <w:pStyle w:val="Normal"/>
        <w:widowControl/>
        <w:suppressAutoHyphens w:val="false"/>
        <w:spacing w:lineRule="auto" w:line="360"/>
        <w:ind w:right="0" w:hanging="0"/>
        <w:jc w:val="both"/>
        <w:rPr>
          <w:b w:val="false"/>
          <w:b w:val="false"/>
          <w:bCs w:val="false"/>
          <w:u w:val="non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„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Czy zamawiający dopuści wycenę za opakowanie 100 szt. z przeliczeniem?”</w:t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Zamawiający dopuszcza.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14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Pakiet IV, Poz.1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rStyle w:val="Uwydatnienie"/>
          <w:b w:val="false"/>
          <w:bCs w:val="false"/>
          <w:i w:val="false"/>
        </w:rPr>
        <w:t>„</w:t>
      </w:r>
      <w:r>
        <w:rPr>
          <w:rStyle w:val="Uwydatnienie"/>
          <w:b w:val="false"/>
          <w:bCs w:val="false"/>
          <w:i w:val="false"/>
        </w:rPr>
        <w:t>Czy wymagany jest wziernik pakowany w papier-folia?”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Zamawiający dopuszcza.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15</w:t>
      </w:r>
    </w:p>
    <w:p>
      <w:pPr>
        <w:pStyle w:val="Normal"/>
        <w:spacing w:lineRule="auto" w:line="360"/>
        <w:jc w:val="both"/>
        <w:rPr/>
      </w:pPr>
      <w:r>
        <w:rPr>
          <w:rStyle w:val="Uwydatnienie"/>
          <w:b/>
          <w:bCs/>
          <w:i w:val="false"/>
        </w:rPr>
        <w:t>Poz.6,7</w:t>
      </w:r>
    </w:p>
    <w:p>
      <w:pPr>
        <w:pStyle w:val="Normal"/>
        <w:widowControl/>
        <w:suppressAutoHyphens w:val="false"/>
        <w:spacing w:lineRule="auto" w:line="360"/>
        <w:ind w:right="0" w:hanging="0"/>
        <w:jc w:val="both"/>
        <w:rPr/>
      </w:pPr>
      <w:r>
        <w:rPr>
          <w:rStyle w:val="Uwydatnienie"/>
          <w:b w:val="false"/>
          <w:bCs w:val="false"/>
          <w:i w:val="false"/>
          <w:u w:val="none"/>
        </w:rPr>
        <w:t>„</w:t>
      </w:r>
      <w:r>
        <w:rPr>
          <w:rStyle w:val="Uwydatnienie"/>
          <w:b w:val="false"/>
          <w:bCs w:val="false"/>
          <w:i w:val="false"/>
          <w:u w:val="none"/>
        </w:rPr>
        <w:t>Czy zamawiający dopuści wycenę za opakowanie 100 szt. z przeliczeniem?”</w:t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Zamawiający dopuszcza.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b/>
          <w:b/>
          <w:bCs/>
          <w:u w:val="singl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16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b w:val="false"/>
          <w:bCs w:val="false"/>
          <w:u w:val="none"/>
        </w:rPr>
        <w:t>„</w:t>
      </w:r>
      <w:r>
        <w:rPr>
          <w:b w:val="false"/>
          <w:bCs w:val="false"/>
          <w:u w:val="none"/>
        </w:rPr>
        <w:t>Zwracam się z uprzejmą prośbą o wydzielenie pozycji nr 37 z Pakietu nr 6                                     w przedmiotowym postępowaniu i utworzenie z niej odrębnego pakietu, co pozwoli większej liczbie Wykonawców na złożenie ofert przetargowych, przyczyniając się do większej                   konkurencyjności asortymentowo-cenowej w przedmiotowym postępowaniu.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/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Aktualny opis przedmiotu zamówienia uniemożliwia złożenie ofert wykonawcom nie                       posiadającym pełnego asortymentu wyspecyfikowanego w pakiecie 6.”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both"/>
        <w:rPr/>
      </w:pPr>
      <w:r>
        <w:rPr>
          <w:b/>
          <w:bCs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Zgodnie z SIWZ.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/>
          <w:b/>
          <w:bCs/>
          <w:u w:val="singl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17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left"/>
        <w:rPr>
          <w:b/>
          <w:b/>
          <w:bCs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Pakiet VI, Poz.4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„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Prosimy Zamawiającego o doprecyzowanie czy nie zaszła oczywista omyłka i Zamawiający oczekuje cewników do odsysania w systemie zamkniętym z 1 otworem centralnym i 2                otworami naprzeciwległymi, z zachowaniem pozostałych zapisów SIWZ?”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i w:val="false"/>
          <w:i w:val="false"/>
          <w:iCs w:val="false"/>
          <w:lang w:eastAsia="pl-PL"/>
        </w:rPr>
      </w:pPr>
      <w:r>
        <w:rPr>
          <w:rFonts w:cs="Times New Roman"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Odpowiedź:</w:t>
      </w:r>
    </w:p>
    <w:p>
      <w:pPr>
        <w:pStyle w:val="Normal"/>
        <w:rPr/>
      </w:pPr>
      <w:r>
        <w:rPr>
          <w:rFonts w:cs="Times New Roman"/>
          <w:b w:val="false"/>
          <w:bCs w:val="false"/>
          <w:i w:val="false"/>
          <w:iCs w:val="false"/>
          <w:u w:val="none"/>
          <w:lang w:eastAsia="pl-PL"/>
        </w:rPr>
        <w:t xml:space="preserve">Zamawiający oczekuje cewników z 2 otworami naprzeciwległymi. 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u w:val="none"/>
          <w:lang w:eastAsia="pl-PL"/>
        </w:rPr>
      </w:pPr>
      <w:r>
        <w:rPr>
          <w:rFonts w:cs="Times New Roman"/>
          <w:b/>
          <w:bCs/>
          <w:i w:val="false"/>
          <w:iCs w:val="false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u w:val="none"/>
          <w:lang w:eastAsia="pl-PL"/>
        </w:rPr>
      </w:pPr>
      <w:r>
        <w:rPr>
          <w:rFonts w:cs="Times New Roman"/>
          <w:b/>
          <w:bCs/>
          <w:i w:val="false"/>
          <w:iCs w:val="false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18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Pakiet VI, Poz. 9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„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Prosimy Zamawiającego o dopuszczenie zestawu do toalety jamy ustnej na 6 procedur zawierającego:  2 osobne opakowania każde zawierające: 1 szczoteczkę do zębów z odsysaniem z zastawką do regulacji siły odsysania, z 2 otworami ssącymi oraz z impregnowaną gąbką na górnej powierzchni,15 ml bezalkoholowego płynu do płukania jamy ustnej w saszetce,1 gąbka-aplikator,1 saszetkę z 3 g preparatu nawilżającego do ust na bazie wodnej; 4 osobne opakowania zawierające: 2 gąbki impregnowane z poprzecznym pofałdowaniem z odsysaniem, z 1 otworem ssącym, z zagiętą końcówką oraz z manualną zastawką do regulacji siły odsysania,1 gąbka-aplikator, 15 ml bezalkoholowego płynu do płukania jamy ustnej w saszetce,1 saszetkę z 3 g preparatu nawilżającego do ust na bazie wodnej. Każde pojedyncze opakowanie zestawu typu blister pełni jednocześnie funkcję pojemnika na płyn.”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i w:val="false"/>
          <w:i w:val="false"/>
          <w:iCs w:val="false"/>
          <w:lang w:eastAsia="pl-PL"/>
        </w:rPr>
      </w:pPr>
      <w:r>
        <w:rPr>
          <w:rFonts w:cs="Times New Roman"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 xml:space="preserve"> </w:t>
      </w: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Zamawiający dopuszcza.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lang w:eastAsia="pl-PL"/>
        </w:rPr>
      </w:pPr>
      <w:r>
        <w:rPr>
          <w:rFonts w:cs="Times New Roman"/>
          <w:b/>
          <w:bCs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lang w:eastAsia="pl-PL"/>
        </w:rPr>
      </w:pPr>
      <w:r>
        <w:rPr>
          <w:rFonts w:cs="Times New Roman"/>
          <w:b/>
          <w:bCs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19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Pakiet VI, Poz. 12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„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Prosimy Zamawiającego o dopuszczenie Nebulizatora pracującego w zakresie 0-90 st. do respiratora, przeciętna średnica cząsteczek aerozolu (MMAD) 2,21 µm (+/- 0,07 µm) z podłączoną szeregowo w obwód złączką T, dren o długości 210 cm. Jednorazowego użytku.”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 xml:space="preserve"> 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Zamawiający dopuszcza.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lang w:eastAsia="pl-PL"/>
        </w:rPr>
      </w:pPr>
      <w:r>
        <w:rPr>
          <w:rFonts w:cs="Times New Roman"/>
          <w:b/>
          <w:bCs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lang w:eastAsia="pl-PL"/>
        </w:rPr>
      </w:pPr>
      <w:r>
        <w:rPr>
          <w:rFonts w:cs="Times New Roman"/>
          <w:b/>
          <w:bCs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20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Pakiet VI, Poz. 16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„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Prosimy Zamawiającego o dopuszczenie drenów Kehra 100%silikon w rozmiarach: 12, 14, 16 CH.”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lang w:eastAsia="pl-PL"/>
        </w:rPr>
      </w:pPr>
      <w:r>
        <w:rPr>
          <w:rFonts w:cs="Times New Roman"/>
          <w:b/>
          <w:bCs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Zamawiający dopuszcza.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lang w:eastAsia="pl-PL"/>
        </w:rPr>
      </w:pPr>
      <w:r>
        <w:rPr>
          <w:rFonts w:cs="Times New Roman"/>
          <w:b/>
          <w:bCs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lang w:eastAsia="pl-PL"/>
        </w:rPr>
      </w:pPr>
      <w:r>
        <w:rPr>
          <w:rFonts w:cs="Times New Roman"/>
          <w:b/>
          <w:bCs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21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Pakiet VI, Poz. 21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„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Prosimy Zamawiającego o doprecyzowanie czy nie zaszła oczywista omyłka pisarska                       i Zamawiający oczekuje zamkniętego systemu do pomiaru diurezy godzinowej z komorą pomiarową nad workiem o pojemności 500 ml, ze skalą, co 1 ml od 1ml do 40 ml, co 5 ml do 90 ml, co 50 ml do 500 ml?”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i w:val="false"/>
          <w:i w:val="false"/>
          <w:iCs w:val="false"/>
          <w:lang w:eastAsia="pl-PL"/>
        </w:rPr>
      </w:pPr>
      <w:r>
        <w:rPr>
          <w:rFonts w:cs="Times New Roman"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 xml:space="preserve">Opisany jest zestaw o pojemności 2500 ml = komora 500 ml + worek 2000 ml. 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i w:val="false"/>
          <w:i w:val="false"/>
          <w:iCs w:val="false"/>
          <w:lang w:eastAsia="pl-PL"/>
        </w:rPr>
      </w:pPr>
      <w:r>
        <w:rPr>
          <w:rFonts w:cs="Times New Roman"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i w:val="false"/>
          <w:i w:val="false"/>
          <w:iCs w:val="false"/>
          <w:lang w:eastAsia="pl-PL"/>
        </w:rPr>
      </w:pPr>
      <w:r>
        <w:rPr>
          <w:rFonts w:cs="Times New Roman"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single"/>
          <w:lang w:eastAsia="pl-PL"/>
        </w:rPr>
        <w:t>Pytanie 22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Pakiet VI, Poz. 21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„</w:t>
      </w: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Prosimy Zamawiającego o doprecyzowanie czy oczekuje bezigłowego portu do pobierania próbek wyposażonego w okienko podglądu  służące do kontroli obecności moczu i procesu pobierania próbek, tak jak obecnie z powodzeniem stosowany w Państwa Placówce?”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ascii="Times New Roman" w:hAnsi="Times New Roman" w:cs="Times New Roman"/>
          <w:i w:val="false"/>
          <w:i w:val="false"/>
          <w:iCs w:val="false"/>
          <w:lang w:eastAsia="pl-PL"/>
        </w:rPr>
      </w:pPr>
      <w:r>
        <w:rPr>
          <w:rFonts w:cs="Times New Roman"/>
          <w:i w:val="false"/>
          <w:iCs w:val="fals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bookmarkStart w:id="1" w:name="__DdeLink__18703_152831055"/>
      <w:bookmarkEnd w:id="1"/>
      <w:r>
        <w:rPr>
          <w:rFonts w:cs="Times New Roman"/>
          <w:b/>
          <w:bCs/>
          <w:i w:val="false"/>
          <w:iCs w:val="false"/>
          <w:sz w:val="24"/>
          <w:szCs w:val="24"/>
          <w:u w:val="none"/>
          <w:lang w:eastAsia="pl-PL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u w:val="none"/>
          <w:lang w:eastAsia="pl-PL"/>
        </w:rPr>
        <w:t>Opisany jest bezigłowy port do pobierania próbek.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/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/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none"/>
          <w:lang w:eastAsia="pl-PL"/>
        </w:rPr>
      </w:pPr>
      <w:r>
        <w:rPr/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cs="Times New Roman"/>
          <w:b/>
          <w:bCs/>
          <w:i w:val="false"/>
          <w:iCs w:val="false"/>
          <w:sz w:val="24"/>
          <w:szCs w:val="24"/>
          <w:highlight w:val="white"/>
          <w:u w:val="single"/>
          <w:lang w:eastAsia="pl-PL"/>
        </w:rPr>
        <w:t>Pytanie 2</w:t>
      </w:r>
      <w:r>
        <w:rPr>
          <w:rFonts w:cs="Times New Roman"/>
          <w:b/>
          <w:bCs/>
          <w:i w:val="false"/>
          <w:iCs w:val="false"/>
          <w:sz w:val="24"/>
          <w:szCs w:val="24"/>
          <w:highlight w:val="white"/>
          <w:u w:val="single"/>
          <w:lang w:eastAsia="pl-PL"/>
        </w:rPr>
        <w:t>3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cs="Arial"/>
          <w:b w:val="false"/>
          <w:bCs w:val="false"/>
          <w:i w:val="false"/>
          <w:iCs w:val="false"/>
          <w:sz w:val="24"/>
          <w:szCs w:val="24"/>
          <w:highlight w:val="white"/>
          <w:u w:val="none"/>
          <w:lang w:eastAsia="pl-PL"/>
        </w:rPr>
        <w:t>„</w:t>
      </w:r>
      <w:r>
        <w:rPr>
          <w:rFonts w:cs="Arial"/>
          <w:b w:val="false"/>
          <w:bCs w:val="false"/>
          <w:i w:val="false"/>
          <w:iCs w:val="false"/>
          <w:sz w:val="24"/>
          <w:szCs w:val="24"/>
          <w:highlight w:val="white"/>
          <w:u w:val="none"/>
          <w:lang w:eastAsia="pl-PL"/>
        </w:rPr>
        <w:t>Dotyczy wzoru umowy (załącznik nr 4 do SIWZ), paragraf 5, ustęp 1, podpunkt a): Czy Zamawiający wyrazi zgodę na zmianę zapisu podpunktu a) na następujący: „</w:t>
      </w:r>
      <w:r>
        <w:rPr>
          <w:rFonts w:eastAsia="Tahoma" w:cs="Tahoma"/>
          <w:b w:val="false"/>
          <w:bCs w:val="false"/>
          <w:i w:val="false"/>
          <w:iCs w:val="false"/>
          <w:sz w:val="24"/>
          <w:szCs w:val="24"/>
          <w:highlight w:val="white"/>
          <w:u w:val="none"/>
          <w:lang w:eastAsia="pl-PL"/>
        </w:rPr>
        <w:t>w razie zwłoki w dostawie zamówienia lub dostarczenia przedmiotu umowy niezgodnie z zamówieniem lub niedostarczenia przedmiotu wolnego od wad w terminie określonym w paragrafie 4 pkt 5 niniejszej umowy Dostawca zapłaci na żądanie Odbiorcy karę umowną w wysokości 2% wartości danej dostawy za każdy dzień opóźnienia”?”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eastAsia="Tahoma"/>
          <w:b/>
          <w:b/>
          <w:bCs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eastAsia="Tahoma"/>
          <w:b/>
          <w:b/>
          <w:bCs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eastAsia="Tahoma" w:cs="Times New Roman"/>
          <w:b/>
          <w:bCs/>
          <w:i w:val="false"/>
          <w:iCs w:val="false"/>
          <w:sz w:val="24"/>
          <w:szCs w:val="24"/>
          <w:highlight w:val="white"/>
          <w:u w:val="none"/>
          <w:lang w:eastAsia="pl-PL"/>
        </w:rPr>
        <w:t>Odpowiedź: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  <w:u w:val="none"/>
          <w:lang w:eastAsia="pl-PL"/>
        </w:rPr>
      </w:pPr>
      <w:r>
        <w:rPr>
          <w:rFonts w:eastAsia="Tahoma" w:cs="Times New Roman"/>
          <w:b w:val="false"/>
          <w:bCs w:val="false"/>
          <w:i w:val="false"/>
          <w:iCs w:val="false"/>
          <w:sz w:val="24"/>
          <w:szCs w:val="24"/>
          <w:highlight w:val="white"/>
          <w:u w:val="none"/>
          <w:lang w:eastAsia="pl-PL"/>
        </w:rPr>
        <w:t>Zamawiający nie wyraża zgody.</w:t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>
          <w:rFonts w:eastAsia="Tahoma"/>
        </w:rPr>
      </w:pPr>
      <w:r>
        <w:rPr>
          <w:rFonts w:cs="Times New Roman"/>
          <w:b w:val="false"/>
          <w:bCs w:val="false"/>
          <w:i w:val="false"/>
          <w:iCs w:val="false"/>
          <w:sz w:val="24"/>
          <w:szCs w:val="24"/>
          <w:highlight w:val="white"/>
          <w:u w:val="none"/>
          <w:lang w:eastAsia="pl-PL"/>
        </w:rPr>
      </w:r>
    </w:p>
    <w:p>
      <w:pPr>
        <w:pStyle w:val="Normal"/>
        <w:widowControl/>
        <w:suppressAutoHyphens w:val="false"/>
        <w:spacing w:lineRule="atLeast" w:line="240"/>
        <w:ind w:right="0" w:hanging="0"/>
        <w:jc w:val="both"/>
        <w:rPr/>
      </w:pPr>
      <w:r>
        <w:rPr>
          <w:highlight w:val="white"/>
        </w:rPr>
        <w:t>Powyższe wyjaśnienia Zamawiający zamieszcza na stronie internetowej w dni</w:t>
      </w:r>
      <w:r>
        <w:rPr/>
        <w:t>u 04.12.2017 r.</w:t>
      </w:r>
    </w:p>
    <w:sectPr>
      <w:type w:val="nextPage"/>
      <w:pgSz w:w="11906" w:h="16838"/>
      <w:pgMar w:left="1417" w:right="1417" w:header="0" w:top="1020" w:footer="0" w:bottom="102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Franklin Gothic Medium Cond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Consolas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tru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Heading 2"/>
    <w:basedOn w:val="Nagwek"/>
    <w:qFormat/>
    <w:pPr/>
    <w:rPr/>
  </w:style>
  <w:style w:type="paragraph" w:styleId="Nagwek4">
    <w:name w:val="Heading 4"/>
    <w:basedOn w:val="Nagwek"/>
    <w:qFormat/>
    <w:pPr/>
    <w:rPr/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RTFNum21">
    <w:name w:val="RTF_Num 2 1"/>
    <w:qFormat/>
    <w:rPr>
      <w:rFonts w:ascii="Symbol" w:hAnsi="Symbol"/>
    </w:rPr>
  </w:style>
  <w:style w:type="character" w:styleId="RTFNum31">
    <w:name w:val="RTF_Num 3 1"/>
    <w:qFormat/>
    <w:rPr>
      <w:rFonts w:ascii="Symbol" w:hAnsi="Symbol"/>
    </w:rPr>
  </w:style>
  <w:style w:type="character" w:styleId="RTFNum41">
    <w:name w:val="RTF_Num 4 1"/>
    <w:qFormat/>
    <w:rPr>
      <w:rFonts w:ascii="Symbol" w:hAnsi="Symbol"/>
    </w:rPr>
  </w:style>
  <w:style w:type="character" w:styleId="RTFNum51">
    <w:name w:val="RTF_Num 5 1"/>
    <w:qFormat/>
    <w:rPr>
      <w:rFonts w:ascii="Symbol" w:hAnsi="Symbol"/>
    </w:rPr>
  </w:style>
  <w:style w:type="character" w:styleId="RTFNum61">
    <w:name w:val="RTF_Num 6 1"/>
    <w:qFormat/>
    <w:rPr>
      <w:rFonts w:ascii="Symbol" w:hAnsi="Symbol"/>
    </w:rPr>
  </w:style>
  <w:style w:type="character" w:styleId="RTFNum71">
    <w:name w:val="RTF_Num 7 1"/>
    <w:qFormat/>
    <w:rPr>
      <w:rFonts w:ascii="Symbol" w:hAnsi="Symbol"/>
    </w:rPr>
  </w:style>
  <w:style w:type="character" w:styleId="RTFNum81">
    <w:name w:val="RTF_Num 8 1"/>
    <w:qFormat/>
    <w:rPr>
      <w:rFonts w:ascii="Symbol" w:hAnsi="Symbol"/>
    </w:rPr>
  </w:style>
  <w:style w:type="character" w:styleId="RTFNum91">
    <w:name w:val="RTF_Num 9 1"/>
    <w:qFormat/>
    <w:rPr>
      <w:rFonts w:ascii="Symbol" w:hAnsi="Symbol"/>
    </w:rPr>
  </w:style>
  <w:style w:type="character" w:styleId="RTFNum101">
    <w:name w:val="RTF_Num 10 1"/>
    <w:qFormat/>
    <w:rPr>
      <w:rFonts w:ascii="Symbol" w:hAnsi="Symbol"/>
    </w:rPr>
  </w:style>
  <w:style w:type="character" w:styleId="RTFNum111">
    <w:name w:val="RTF_Num 11 1"/>
    <w:qFormat/>
    <w:rPr>
      <w:rFonts w:ascii="Symbol" w:hAnsi="Symbol"/>
    </w:rPr>
  </w:style>
  <w:style w:type="character" w:styleId="RTFNum121">
    <w:name w:val="RTF_Num 12 1"/>
    <w:qFormat/>
    <w:rPr>
      <w:rFonts w:ascii="Symbol" w:hAnsi="Symbol"/>
    </w:rPr>
  </w:style>
  <w:style w:type="character" w:styleId="RTFNum131">
    <w:name w:val="RTF_Num 13 1"/>
    <w:qFormat/>
    <w:rPr>
      <w:rFonts w:ascii="Symbol" w:hAnsi="Symbol"/>
    </w:rPr>
  </w:style>
  <w:style w:type="character" w:styleId="RTFNum141">
    <w:name w:val="RTF_Num 14 1"/>
    <w:qFormat/>
    <w:rPr>
      <w:rFonts w:ascii="Symbol" w:hAnsi="Symbol"/>
    </w:rPr>
  </w:style>
  <w:style w:type="character" w:styleId="RTFNum151">
    <w:name w:val="RTF_Num 15 1"/>
    <w:qFormat/>
    <w:rPr>
      <w:rFonts w:ascii="Symbol" w:hAnsi="Symbol"/>
    </w:rPr>
  </w:style>
  <w:style w:type="character" w:styleId="RTFNum161">
    <w:name w:val="RTF_Num 16 1"/>
    <w:qFormat/>
    <w:rPr>
      <w:rFonts w:ascii="Symbol" w:hAnsi="Symbol"/>
    </w:rPr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WW8Num12z0">
    <w:name w:val="WW8Num12z0"/>
    <w:qFormat/>
    <w:rPr>
      <w:color w:val="000000"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b w:val="false"/>
    </w:rPr>
  </w:style>
  <w:style w:type="character" w:styleId="RTFNum171">
    <w:name w:val="RTF_Num 17 1"/>
    <w:qFormat/>
    <w:rPr>
      <w:rFonts w:ascii="Symbol" w:hAnsi="Symbol"/>
    </w:rPr>
  </w:style>
  <w:style w:type="character" w:styleId="RTFNum181">
    <w:name w:val="RTF_Num 18 1"/>
    <w:qFormat/>
    <w:rPr>
      <w:rFonts w:ascii="Symbol" w:hAnsi="Symbol"/>
    </w:rPr>
  </w:style>
  <w:style w:type="character" w:styleId="RTFNum191">
    <w:name w:val="RTF_Num 19 1"/>
    <w:qFormat/>
    <w:rPr>
      <w:rFonts w:ascii="Symbol" w:hAnsi="Symbol"/>
    </w:rPr>
  </w:style>
  <w:style w:type="character" w:styleId="RTFNum201">
    <w:name w:val="RTF_Num 20 1"/>
    <w:qFormat/>
    <w:rPr>
      <w:rFonts w:ascii="Symbol" w:hAnsi="Symbol"/>
    </w:rPr>
  </w:style>
  <w:style w:type="character" w:styleId="RTFNum211">
    <w:name w:val="RTF_Num 21 1"/>
    <w:qFormat/>
    <w:rPr>
      <w:rFonts w:ascii="Symbol" w:hAnsi="Symbol"/>
    </w:rPr>
  </w:style>
  <w:style w:type="character" w:styleId="RTFNum221">
    <w:name w:val="RTF_Num 22 1"/>
    <w:qFormat/>
    <w:rPr>
      <w:rFonts w:ascii="Symbol" w:hAnsi="Symbol"/>
    </w:rPr>
  </w:style>
  <w:style w:type="character" w:styleId="RTFNum231">
    <w:name w:val="RTF_Num 23 1"/>
    <w:qFormat/>
    <w:rPr>
      <w:rFonts w:ascii="Symbol" w:hAnsi="Symbol"/>
    </w:rPr>
  </w:style>
  <w:style w:type="character" w:styleId="RTFNum241">
    <w:name w:val="RTF_Num 24 1"/>
    <w:qFormat/>
    <w:rPr>
      <w:rFonts w:ascii="Symbol" w:hAnsi="Symbol"/>
    </w:rPr>
  </w:style>
  <w:style w:type="character" w:styleId="Znakinumeracji">
    <w:name w:val="Znaki numeracji"/>
    <w:qFormat/>
    <w:rPr/>
  </w:style>
  <w:style w:type="character" w:styleId="RTFNum251">
    <w:name w:val="RTF_Num 25 1"/>
    <w:qFormat/>
    <w:rPr>
      <w:rFonts w:ascii="Symbol" w:hAnsi="Symbol"/>
    </w:rPr>
  </w:style>
  <w:style w:type="character" w:styleId="RTFNum261">
    <w:name w:val="RTF_Num 26 1"/>
    <w:qFormat/>
    <w:rPr>
      <w:rFonts w:ascii="Symbol" w:hAnsi="Symbol"/>
    </w:rPr>
  </w:style>
  <w:style w:type="character" w:styleId="RTFNum271">
    <w:name w:val="RTF_Num 27 1"/>
    <w:qFormat/>
    <w:rPr>
      <w:rFonts w:ascii="Symbol" w:hAnsi="Symbol"/>
    </w:rPr>
  </w:style>
  <w:style w:type="character" w:styleId="RTFNum281">
    <w:name w:val="RTF_Num 28 1"/>
    <w:qFormat/>
    <w:rPr>
      <w:rFonts w:ascii="Symbol" w:hAnsi="Symbol"/>
    </w:rPr>
  </w:style>
  <w:style w:type="character" w:styleId="RTFNum291">
    <w:name w:val="RTF_Num 29 1"/>
    <w:qFormat/>
    <w:rPr>
      <w:rFonts w:ascii="Symbol" w:hAnsi="Symbol"/>
    </w:rPr>
  </w:style>
  <w:style w:type="character" w:styleId="RTFNum301">
    <w:name w:val="RTF_Num 30 1"/>
    <w:qFormat/>
    <w:rPr>
      <w:rFonts w:ascii="Symbol" w:hAnsi="Symbol"/>
    </w:rPr>
  </w:style>
  <w:style w:type="character" w:styleId="RTFNum311">
    <w:name w:val="RTF_Num 31 1"/>
    <w:qFormat/>
    <w:rPr>
      <w:rFonts w:ascii="Symbol" w:hAnsi="Symbol"/>
    </w:rPr>
  </w:style>
  <w:style w:type="character" w:styleId="RTFNum321">
    <w:name w:val="RTF_Num 32 1"/>
    <w:qFormat/>
    <w:rPr>
      <w:rFonts w:ascii="Symbol" w:hAnsi="Symbol"/>
    </w:rPr>
  </w:style>
  <w:style w:type="character" w:styleId="RTFNum331">
    <w:name w:val="RTF_Num 33 1"/>
    <w:qFormat/>
    <w:rPr>
      <w:rFonts w:ascii="Symbol" w:hAnsi="Symbol"/>
    </w:rPr>
  </w:style>
  <w:style w:type="character" w:styleId="RTFNum341">
    <w:name w:val="RTF_Num 34 1"/>
    <w:qFormat/>
    <w:rPr>
      <w:rFonts w:ascii="Symbol" w:hAnsi="Symbol"/>
    </w:rPr>
  </w:style>
  <w:style w:type="character" w:styleId="RTFNum351">
    <w:name w:val="RTF_Num 35 1"/>
    <w:qFormat/>
    <w:rPr>
      <w:rFonts w:ascii="Symbol" w:hAnsi="Symbol"/>
    </w:rPr>
  </w:style>
  <w:style w:type="character" w:styleId="RTFNum361">
    <w:name w:val="RTF_Num 36 1"/>
    <w:qFormat/>
    <w:rPr>
      <w:rFonts w:ascii="Symbol" w:hAnsi="Symbol"/>
    </w:rPr>
  </w:style>
  <w:style w:type="character" w:styleId="RTFNum371">
    <w:name w:val="RTF_Num 37 1"/>
    <w:qFormat/>
    <w:rPr>
      <w:rFonts w:ascii="Symbol" w:hAnsi="Symbol"/>
    </w:rPr>
  </w:style>
  <w:style w:type="character" w:styleId="RTFNum381">
    <w:name w:val="RTF_Num 38 1"/>
    <w:qFormat/>
    <w:rPr>
      <w:rFonts w:ascii="Symbol" w:hAnsi="Symbol"/>
    </w:rPr>
  </w:style>
  <w:style w:type="character" w:styleId="RTFNum391">
    <w:name w:val="RTF_Num 39 1"/>
    <w:qFormat/>
    <w:rPr>
      <w:rFonts w:ascii="Symbol" w:hAnsi="Symbol"/>
    </w:rPr>
  </w:style>
  <w:style w:type="character" w:styleId="RTFNum401">
    <w:name w:val="RTF_Num 40 1"/>
    <w:qFormat/>
    <w:rPr>
      <w:rFonts w:ascii="Symbol" w:hAnsi="Symbol"/>
    </w:rPr>
  </w:style>
  <w:style w:type="character" w:styleId="RTFNum411">
    <w:name w:val="RTF_Num 41 1"/>
    <w:qFormat/>
    <w:rPr>
      <w:rFonts w:ascii="Symbol" w:hAnsi="Symbol"/>
    </w:rPr>
  </w:style>
  <w:style w:type="character" w:styleId="RTFNum421">
    <w:name w:val="RTF_Num 42 1"/>
    <w:qFormat/>
    <w:rPr>
      <w:rFonts w:ascii="Symbol" w:hAnsi="Symbol"/>
    </w:rPr>
  </w:style>
  <w:style w:type="character" w:styleId="RTFNum431">
    <w:name w:val="RTF_Num 43 1"/>
    <w:qFormat/>
    <w:rPr>
      <w:rFonts w:ascii="Symbol" w:hAnsi="Symbol"/>
    </w:rPr>
  </w:style>
  <w:style w:type="character" w:styleId="RTFNum441">
    <w:name w:val="RTF_Num 44 1"/>
    <w:qFormat/>
    <w:rPr>
      <w:rFonts w:ascii="Symbol" w:hAnsi="Symbol"/>
    </w:rPr>
  </w:style>
  <w:style w:type="character" w:styleId="RTFNum451">
    <w:name w:val="RTF_Num 45 1"/>
    <w:qFormat/>
    <w:rPr>
      <w:rFonts w:ascii="Symbol" w:hAnsi="Symbol"/>
    </w:rPr>
  </w:style>
  <w:style w:type="character" w:styleId="RTFNum461">
    <w:name w:val="RTF_Num 46 1"/>
    <w:qFormat/>
    <w:rPr>
      <w:rFonts w:ascii="Symbol" w:hAnsi="Symbol"/>
    </w:rPr>
  </w:style>
  <w:style w:type="character" w:styleId="RTFNum471">
    <w:name w:val="RTF_Num 47 1"/>
    <w:qFormat/>
    <w:rPr>
      <w:rFonts w:ascii="Symbol" w:hAnsi="Symbol"/>
    </w:rPr>
  </w:style>
  <w:style w:type="character" w:styleId="RTFNum481">
    <w:name w:val="RTF_Num 48 1"/>
    <w:qFormat/>
    <w:rPr>
      <w:rFonts w:ascii="Symbol" w:hAnsi="Symbol"/>
    </w:rPr>
  </w:style>
  <w:style w:type="character" w:styleId="RTFNum491">
    <w:name w:val="RTF_Num 49 1"/>
    <w:qFormat/>
    <w:rPr>
      <w:rFonts w:ascii="Symbol" w:hAnsi="Symbol"/>
    </w:rPr>
  </w:style>
  <w:style w:type="character" w:styleId="RTFNum501">
    <w:name w:val="RTF_Num 50 1"/>
    <w:qFormat/>
    <w:rPr>
      <w:rFonts w:ascii="Symbol" w:hAnsi="Symbol"/>
    </w:rPr>
  </w:style>
  <w:style w:type="character" w:styleId="RTFNum511">
    <w:name w:val="RTF_Num 51 1"/>
    <w:qFormat/>
    <w:rPr>
      <w:rFonts w:ascii="Symbol" w:hAnsi="Symbol"/>
    </w:rPr>
  </w:style>
  <w:style w:type="character" w:styleId="RTFNum521">
    <w:name w:val="RTF_Num 52 1"/>
    <w:qFormat/>
    <w:rPr>
      <w:rFonts w:ascii="Symbol" w:hAnsi="Symbol"/>
    </w:rPr>
  </w:style>
  <w:style w:type="character" w:styleId="RTFNum531">
    <w:name w:val="RTF_Num 53 1"/>
    <w:qFormat/>
    <w:rPr>
      <w:rFonts w:ascii="Symbol" w:hAnsi="Symbol"/>
    </w:rPr>
  </w:style>
  <w:style w:type="character" w:styleId="RTFNum541">
    <w:name w:val="RTF_Num 54 1"/>
    <w:qFormat/>
    <w:rPr>
      <w:rFonts w:ascii="Symbol" w:hAnsi="Symbol"/>
    </w:rPr>
  </w:style>
  <w:style w:type="character" w:styleId="RTFNum551">
    <w:name w:val="RTF_Num 55 1"/>
    <w:qFormat/>
    <w:rPr>
      <w:rFonts w:ascii="Symbol" w:hAnsi="Symbol"/>
    </w:rPr>
  </w:style>
  <w:style w:type="character" w:styleId="RTFNum561">
    <w:name w:val="RTF_Num 56 1"/>
    <w:qFormat/>
    <w:rPr>
      <w:rFonts w:ascii="Symbol" w:hAnsi="Symbol"/>
    </w:rPr>
  </w:style>
  <w:style w:type="character" w:styleId="FontStyle42">
    <w:name w:val="Font Style42"/>
    <w:qFormat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styleId="FontStyle37">
    <w:name w:val="Font Style37"/>
    <w:qFormat/>
    <w:rPr>
      <w:rFonts w:ascii="Tahoma" w:hAnsi="Tahoma" w:cs="Tahoma"/>
      <w:b/>
      <w:bCs/>
      <w:sz w:val="24"/>
      <w:szCs w:val="24"/>
    </w:rPr>
  </w:style>
  <w:style w:type="character" w:styleId="FontStyle41">
    <w:name w:val="Font Style41"/>
    <w:qFormat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styleId="WW8Num3z0">
    <w:name w:val="WW8Num3z0"/>
    <w:qFormat/>
    <w:rPr>
      <w:rFonts w:ascii="Verdana" w:hAnsi="Verdana"/>
      <w:sz w:val="20"/>
      <w:szCs w:val="20"/>
    </w:rPr>
  </w:style>
  <w:style w:type="character" w:styleId="RTFNum571">
    <w:name w:val="RTF_Num 57 1"/>
    <w:qFormat/>
    <w:rPr>
      <w:rFonts w:ascii="Symbol" w:hAnsi="Symbol"/>
    </w:rPr>
  </w:style>
  <w:style w:type="character" w:styleId="RTFNum581">
    <w:name w:val="RTF_Num 58 1"/>
    <w:qFormat/>
    <w:rPr>
      <w:rFonts w:ascii="Symbol" w:hAnsi="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S13">
    <w:name w:val="s13"/>
    <w:basedOn w:val="DefaultParagraphFont"/>
    <w:qFormat/>
    <w:rPr/>
  </w:style>
  <w:style w:type="character" w:styleId="Uwydatnienie">
    <w:name w:val="Uwydat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wykytekst">
    <w:name w:val="Zwykły tekst"/>
    <w:basedOn w:val="Normal"/>
    <w:qFormat/>
    <w:pPr>
      <w:suppressAutoHyphens w:val="false"/>
    </w:pPr>
    <w:rPr>
      <w:rFonts w:ascii="Consolas" w:hAnsi="Consolas" w:eastAsia="Calibri"/>
      <w:sz w:val="21"/>
      <w:szCs w:val="21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left="720" w:right="0" w:hanging="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SimSun"/>
      <w:sz w:val="22"/>
      <w:szCs w:val="22"/>
      <w:lang w:val="en-US" w:eastAsia="zh-CN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wcity3">
    <w:name w:val="Tekst podstawowy wcięty 3"/>
    <w:basedOn w:val="Normal"/>
    <w:qFormat/>
    <w:pPr>
      <w:spacing w:before="0" w:after="0"/>
      <w:ind w:left="922" w:right="0" w:hanging="922"/>
    </w:pPr>
    <w:rPr>
      <w:rFonts w:ascii="Arial" w:hAnsi="Arial" w:cs="Arial"/>
      <w:i/>
      <w:iCs/>
      <w:color w:val="0000FF"/>
      <w:sz w:val="16"/>
      <w:szCs w:val="16"/>
    </w:rPr>
  </w:style>
  <w:style w:type="paragraph" w:styleId="Default">
    <w:name w:val="Default"/>
    <w:qFormat/>
    <w:pPr>
      <w:widowControl/>
      <w:overflowPunct w:val="true"/>
      <w:bidi w:val="0"/>
      <w:jc w:val="left"/>
    </w:pPr>
    <w:rPr>
      <w:rFonts w:ascii="Arial" w:hAnsi="Arial" w:eastAsia="SimSun" w:cs="Arial"/>
      <w:color w:val="000000"/>
      <w:sz w:val="24"/>
      <w:szCs w:val="24"/>
      <w:lang w:val="pl-PL" w:eastAsia="zh-CN" w:bidi="hi-IN"/>
    </w:rPr>
  </w:style>
  <w:style w:type="paragraph" w:styleId="BodyTextIndent2">
    <w:name w:val="Body Text Indent 2"/>
    <w:basedOn w:val="Normal"/>
    <w:qFormat/>
    <w:pPr>
      <w:overflowPunct w:val="false"/>
      <w:spacing w:lineRule="auto" w:line="360" w:before="0" w:after="0"/>
      <w:ind w:left="0" w:right="0" w:firstLine="360"/>
      <w:jc w:val="both"/>
      <w:textAlignment w:val="baseline"/>
    </w:pPr>
    <w:rPr>
      <w:szCs w:val="20"/>
    </w:rPr>
  </w:style>
  <w:style w:type="paragraph" w:styleId="Bezodstpw">
    <w:name w:val="Bez odstępów"/>
    <w:qFormat/>
    <w:pPr>
      <w:widowControl/>
      <w:overflowPunct w:val="true"/>
      <w:bidi w:val="0"/>
      <w:jc w:val="left"/>
    </w:pPr>
    <w:rPr>
      <w:rFonts w:ascii="Calibri" w:hAnsi="Calibri" w:eastAsia="Arial" w:cs="Times New Roman"/>
      <w:color w:val="00000A"/>
      <w:sz w:val="22"/>
      <w:szCs w:val="22"/>
      <w:lang w:val="pl-PL" w:eastAsia="zh-CN" w:bidi="ar-S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Tytu">
    <w:name w:val="Title"/>
    <w:basedOn w:val="Normal"/>
    <w:qFormat/>
    <w:pPr>
      <w:jc w:val="center"/>
    </w:pPr>
    <w:rPr>
      <w:sz w:val="28"/>
      <w:lang w:val="zxx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Textbodyindent">
    <w:name w:val="Text body indent"/>
    <w:basedOn w:val="Normal"/>
    <w:qFormat/>
    <w:pPr>
      <w:widowControl w:val="false"/>
      <w:suppressAutoHyphens w:val="true"/>
      <w:spacing w:before="0" w:after="120"/>
      <w:ind w:left="283" w:right="0" w:hanging="0"/>
      <w:textAlignment w:val="baseline"/>
    </w:pPr>
    <w:rPr>
      <w:rFonts w:eastAsia="SimSun;宋体" w:cs="Mangal"/>
      <w:lang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14">
    <w:name w:val="s14"/>
    <w:basedOn w:val="Normal"/>
    <w:qFormat/>
    <w:pPr>
      <w:overflowPunct w:val="false"/>
      <w:spacing w:beforeAutospacing="1" w:afterAutospacing="1"/>
      <w:textAlignment w:val="auto"/>
    </w:pPr>
    <w:rPr>
      <w:rFonts w:eastAsia="" w:eastAsiaTheme="minorHAnsi"/>
      <w:sz w:val="24"/>
      <w:szCs w:val="24"/>
      <w:lang w:eastAsia="pl-PL"/>
    </w:rPr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  <w:style w:type="numbering" w:styleId="RTFNum16">
    <w:name w:val="RTF_Num 16"/>
    <w:qFormat/>
  </w:style>
  <w:style w:type="numbering" w:styleId="WW8Num12">
    <w:name w:val="WW8Num12"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RTFNum17">
    <w:name w:val="RTF_Num 17"/>
    <w:qFormat/>
  </w:style>
  <w:style w:type="numbering" w:styleId="RTFNum18">
    <w:name w:val="RTF_Num 18"/>
    <w:qFormat/>
  </w:style>
  <w:style w:type="numbering" w:styleId="RTFNum19">
    <w:name w:val="RTF_Num 19"/>
    <w:qFormat/>
  </w:style>
  <w:style w:type="numbering" w:styleId="RTFNum20">
    <w:name w:val="RTF_Num 20"/>
    <w:qFormat/>
  </w:style>
  <w:style w:type="numbering" w:styleId="RTFNum212">
    <w:name w:val="RTF_Num 21"/>
    <w:qFormat/>
  </w:style>
  <w:style w:type="numbering" w:styleId="RTFNum22">
    <w:name w:val="RTF_Num 22"/>
    <w:qFormat/>
  </w:style>
  <w:style w:type="numbering" w:styleId="RTFNum23">
    <w:name w:val="RTF_Num 23"/>
    <w:qFormat/>
  </w:style>
  <w:style w:type="numbering" w:styleId="RTFNum24">
    <w:name w:val="RTF_Num 24"/>
    <w:qFormat/>
  </w:style>
  <w:style w:type="numbering" w:styleId="RTFNum25">
    <w:name w:val="RTF_Num 25"/>
    <w:qFormat/>
  </w:style>
  <w:style w:type="numbering" w:styleId="RTFNum26">
    <w:name w:val="RTF_Num 26"/>
    <w:qFormat/>
  </w:style>
  <w:style w:type="numbering" w:styleId="RTFNum27">
    <w:name w:val="RTF_Num 27"/>
    <w:qFormat/>
  </w:style>
  <w:style w:type="numbering" w:styleId="RTFNum28">
    <w:name w:val="RTF_Num 28"/>
    <w:qFormat/>
  </w:style>
  <w:style w:type="numbering" w:styleId="RTFNum29">
    <w:name w:val="RTF_Num 29"/>
    <w:qFormat/>
  </w:style>
  <w:style w:type="numbering" w:styleId="RTFNum30">
    <w:name w:val="RTF_Num 30"/>
    <w:qFormat/>
  </w:style>
  <w:style w:type="numbering" w:styleId="RTFNum312">
    <w:name w:val="RTF_Num 31"/>
    <w:qFormat/>
  </w:style>
  <w:style w:type="numbering" w:styleId="RTFNum32">
    <w:name w:val="RTF_Num 32"/>
    <w:qFormat/>
  </w:style>
  <w:style w:type="numbering" w:styleId="RTFNum33">
    <w:name w:val="RTF_Num 33"/>
    <w:qFormat/>
  </w:style>
  <w:style w:type="numbering" w:styleId="RTFNum34">
    <w:name w:val="RTF_Num 34"/>
    <w:qFormat/>
  </w:style>
  <w:style w:type="numbering" w:styleId="RTFNum35">
    <w:name w:val="RTF_Num 35"/>
    <w:qFormat/>
  </w:style>
  <w:style w:type="numbering" w:styleId="RTFNum36">
    <w:name w:val="RTF_Num 36"/>
    <w:qFormat/>
  </w:style>
  <w:style w:type="numbering" w:styleId="RTFNum37">
    <w:name w:val="RTF_Num 37"/>
    <w:qFormat/>
  </w:style>
  <w:style w:type="numbering" w:styleId="RTFNum38">
    <w:name w:val="RTF_Num 38"/>
    <w:qFormat/>
  </w:style>
  <w:style w:type="numbering" w:styleId="RTFNum39">
    <w:name w:val="RTF_Num 39"/>
    <w:qFormat/>
  </w:style>
  <w:style w:type="numbering" w:styleId="RTFNum40">
    <w:name w:val="RTF_Num 40"/>
    <w:qFormat/>
  </w:style>
  <w:style w:type="numbering" w:styleId="RTFNum412">
    <w:name w:val="RTF_Num 41"/>
    <w:qFormat/>
  </w:style>
  <w:style w:type="numbering" w:styleId="RTFNum42">
    <w:name w:val="RTF_Num 42"/>
    <w:qFormat/>
  </w:style>
  <w:style w:type="numbering" w:styleId="RTFNum43">
    <w:name w:val="RTF_Num 43"/>
    <w:qFormat/>
  </w:style>
  <w:style w:type="numbering" w:styleId="RTFNum44">
    <w:name w:val="RTF_Num 44"/>
    <w:qFormat/>
  </w:style>
  <w:style w:type="numbering" w:styleId="RTFNum45">
    <w:name w:val="RTF_Num 45"/>
    <w:qFormat/>
  </w:style>
  <w:style w:type="numbering" w:styleId="RTFNum46">
    <w:name w:val="RTF_Num 46"/>
    <w:qFormat/>
  </w:style>
  <w:style w:type="numbering" w:styleId="RTFNum47">
    <w:name w:val="RTF_Num 47"/>
    <w:qFormat/>
  </w:style>
  <w:style w:type="numbering" w:styleId="RTFNum48">
    <w:name w:val="RTF_Num 48"/>
    <w:qFormat/>
  </w:style>
  <w:style w:type="numbering" w:styleId="RTFNum49">
    <w:name w:val="RTF_Num 49"/>
    <w:qFormat/>
  </w:style>
  <w:style w:type="numbering" w:styleId="RTFNum50">
    <w:name w:val="RTF_Num 50"/>
    <w:qFormat/>
  </w:style>
  <w:style w:type="numbering" w:styleId="RTFNum512">
    <w:name w:val="RTF_Num 51"/>
    <w:qFormat/>
  </w:style>
  <w:style w:type="numbering" w:styleId="RTFNum52">
    <w:name w:val="RTF_Num 52"/>
    <w:qFormat/>
  </w:style>
  <w:style w:type="numbering" w:styleId="RTFNum53">
    <w:name w:val="RTF_Num 53"/>
    <w:qFormat/>
  </w:style>
  <w:style w:type="numbering" w:styleId="RTFNum54">
    <w:name w:val="RTF_Num 54"/>
    <w:qFormat/>
  </w:style>
  <w:style w:type="numbering" w:styleId="RTFNum55">
    <w:name w:val="RTF_Num 55"/>
    <w:qFormat/>
  </w:style>
  <w:style w:type="numbering" w:styleId="RTFNum56">
    <w:name w:val="RTF_Num 56"/>
    <w:qFormat/>
  </w:style>
  <w:style w:type="numbering" w:styleId="WW8Num3">
    <w:name w:val="WW8Num3"/>
    <w:qFormat/>
  </w:style>
  <w:style w:type="numbering" w:styleId="RTFNum57">
    <w:name w:val="RTF_Num 57"/>
    <w:qFormat/>
  </w:style>
  <w:style w:type="numbering" w:styleId="RTFNum58">
    <w:name w:val="RTF_Num 5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5952</TotalTime>
  <Application>LibreOffice/5.2.1.2$Windows_x86 LibreOffice_project/31dd62db80d4e60af04904455ec9c9219178d620</Application>
  <Pages>5</Pages>
  <Words>1081</Words>
  <Characters>6342</Characters>
  <CharactersWithSpaces>7615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2013-10-10T12:07:13Z</dcterms:created>
  <dc:creator/>
  <dc:description/>
  <dc:language>pl-PL</dc:language>
  <cp:lastModifiedBy/>
  <cp:lastPrinted>2017-12-04T12:20:20Z</cp:lastPrinted>
  <dcterms:modified xsi:type="dcterms:W3CDTF">2017-12-04T14:36:25Z</dcterms:modified>
  <cp:revision>499</cp:revision>
  <dc:subject/>
  <dc:title/>
</cp:coreProperties>
</file>