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/>
        <w:t>Dotyczy: postępowania o u</w:t>
      </w:r>
      <w:r>
        <w:rPr>
          <w:i w:val="false"/>
          <w:iCs w:val="false"/>
          <w:sz w:val="24"/>
          <w:szCs w:val="24"/>
        </w:rPr>
        <w:t xml:space="preserve">dzielenie zamówienia publicznego prowadzonego w trybie przetargu nieograniczonego na </w:t>
      </w:r>
      <w:r>
        <w:rPr>
          <w:rStyle w:val="Mocnowyrniony"/>
          <w:rFonts w:cs="Arial"/>
          <w:i w:val="false"/>
          <w:iCs w:val="false"/>
          <w:color w:val="000000"/>
          <w:sz w:val="24"/>
          <w:szCs w:val="24"/>
        </w:rPr>
        <w:t xml:space="preserve">„  Dostawa paliwa Diesla i benzyny bezołowiowej Pb95 dla floty środków transportu w Samodzielnym Publicznym Zespole Opieki Zdrowotnej </w:t>
      </w: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4"/>
          <w:szCs w:val="24"/>
        </w:rPr>
        <w:t>”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18/ZP/2019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2018 r. poz. 1986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>303 084,30 zł (słownie: trzysta trzy tysiące osiemdziesiąt cztery złote i trzydzieści groszy).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2.  Do upływu terminu składania ofert tj. do dnia 11.10.2019 r. godz. 11:30 złożono 1 (słownie: jedną ) ofertę.   Zestawienie złożonych ofert w załączeniu.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3.  Termin wykonania :  24  miesiące od  daty obowiązywania umowy.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4. Warunki płatności :  14 dni od daty wystawienia faktury.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>w dniu 14.10.2019 r..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418" w:right="1418" w:header="708" w:top="1418" w:footer="0" w:bottom="70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w:rPr/>
      <w:drawing>
        <wp:inline distT="0" distB="0" distL="0" distR="0">
          <wp:extent cx="1153160" cy="136588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368</TotalTime>
  <Application>LibreOffice/5.2.1.2$Windows_x86 LibreOffice_project/31dd62db80d4e60af04904455ec9c9219178d620</Application>
  <Pages>1</Pages>
  <Words>165</Words>
  <Characters>1043</Characters>
  <CharactersWithSpaces>1324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2019-10-11T14:50:02Z</cp:lastPrinted>
  <dcterms:modified xsi:type="dcterms:W3CDTF">2019-10-14T13:41:07Z</dcterms:modified>
  <cp:revision>54</cp:revision>
  <dc:subject/>
  <dc:title>    Nasz znak: SP ZOZ-A-VIII-223/18/10</dc:title>
</cp:coreProperties>
</file>