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PAKIET NR 13 – PODŁOŻA SUCHE   2019- 2021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6110" w:type="dxa"/>
        <w:jc w:val="left"/>
        <w:tblInd w:w="-51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3689"/>
        <w:gridCol w:w="989"/>
        <w:gridCol w:w="1350"/>
        <w:gridCol w:w="1065"/>
        <w:gridCol w:w="1335"/>
        <w:gridCol w:w="1170"/>
        <w:gridCol w:w="1348"/>
        <w:gridCol w:w="1365"/>
        <w:gridCol w:w="1350"/>
        <w:gridCol w:w="1891"/>
      </w:tblGrid>
      <w:tr>
        <w:trPr>
          <w:trHeight w:val="1335" w:hRule="atLeast"/>
        </w:trPr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PRZEDMIOTU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KATALOGOWY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SZTUK W OPAKOWANIU JEDNOSTKOWYM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PEŁNYCH OPAK. NA 2 LATA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1 OPAK. NETTO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VAT %</w:t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1 OPAK. BRUTTO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 NA 2 LATA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VAT NA 2 LATA</w:t>
            </w:r>
          </w:p>
        </w:tc>
        <w:tc>
          <w:tcPr>
            <w:tcW w:w="1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NA 2 LATA</w:t>
            </w:r>
          </w:p>
        </w:tc>
      </w:tr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Podłoża suche. </w:t>
            </w:r>
            <w:r>
              <w:rPr>
                <w:b w:val="false"/>
                <w:bCs w:val="false"/>
                <w:u w:val="none"/>
              </w:rPr>
              <w:t>Termin ważności minimum 12 miesięcy od daty dostawy do laboratorium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Agar Mueeler-Hinton do oznaczania wrażliwości bakterii na antybiotyki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1 opakowanie x 500 g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20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Agar Kliglera do identyfikacji pałeczek jelitowych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1 opakowanie x 500 g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4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Agar MacConcey’a z fioletem krystalicznym do hodowli pałeczek jelitowych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1 opakowanie x 500 g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14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lang w:val="sv-SE"/>
              </w:rPr>
              <w:t xml:space="preserve">Agar SS do hodowli </w:t>
            </w:r>
            <w:r>
              <w:rPr>
                <w:i/>
                <w:lang w:val="sv-SE"/>
              </w:rPr>
              <w:t>Salmonella, Shigella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1 opakowanie x 500 g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7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Trypticase Soy Agar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1 opakowanie x 500 g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10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Trypticase Soy Broth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1 opakowanie x 500 g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4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lang w:val="sv-SE"/>
              </w:rPr>
              <w:t xml:space="preserve">Agar Slanetz Bartley z TTC dla </w:t>
            </w:r>
            <w:r>
              <w:rPr>
                <w:i/>
                <w:lang w:val="sv-SE"/>
              </w:rPr>
              <w:t>Enterococcus</w:t>
            </w:r>
          </w:p>
          <w:p>
            <w:pPr>
              <w:pStyle w:val="Normal"/>
              <w:rPr>
                <w:lang w:val="sv-SE"/>
              </w:rPr>
            </w:pPr>
            <w:r>
              <w:rPr>
                <w:lang w:val="sv-SE"/>
              </w:rPr>
            </w:r>
          </w:p>
          <w:p>
            <w:pPr>
              <w:pStyle w:val="Normal"/>
              <w:rPr>
                <w:lang w:val="sv-SE"/>
              </w:rPr>
            </w:pPr>
            <w:r>
              <w:rPr>
                <w:lang w:val="sv-SE"/>
              </w:rPr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1 opakowanie x 500 g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1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>
                <w:lang w:val="en-US"/>
              </w:rPr>
            </w:pPr>
            <w:r>
              <w:rPr>
                <w:lang w:val="en-US"/>
              </w:rPr>
              <w:t>Agar Simmons Citrate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1 opakowanie x 500 g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3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>
                <w:lang w:val="en-US"/>
              </w:rPr>
            </w:pPr>
            <w:r>
              <w:rPr>
                <w:lang w:val="en-US"/>
              </w:rPr>
              <w:t>Agar Sabouraud z chloramfenikolem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1 opakowanie x 500 g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4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Bulion z kwaśnym seleninem sodu,</w:t>
            </w:r>
          </w:p>
          <w:p>
            <w:pPr>
              <w:pStyle w:val="Normal"/>
              <w:rPr/>
            </w:pPr>
            <w:r>
              <w:rPr/>
              <w:t>Selenite F Bulion, podłoże namnażające Salmonella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1 opakowanie x 500 g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3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Yeast Extract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1 opakowanie x 500 g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1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Pepton A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1 opakowanie x 500 g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1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SUMA: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Lucida Sans Unicode" w:cs="Mang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LibreOffice/5.2.2.2$Windows_x86 LibreOffice_project/8f96e87c890bf8fa77463cd4b640a2312823f3ad</Application>
  <Pages>2</Pages>
  <Words>197</Words>
  <Characters>911</Characters>
  <CharactersWithSpaces>1061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2016-11-24T12:50:19Z</dcterms:created>
  <dc:creator>Elzbieta Staszków</dc:creator>
  <dc:description/>
  <dc:language>pl-PL</dc:language>
  <cp:lastModifiedBy/>
  <dcterms:modified xsi:type="dcterms:W3CDTF">2019-04-29T14:15:36Z</dcterms:modified>
  <cp:revision>6</cp:revision>
  <dc:subject/>
  <dc:title/>
</cp:coreProperties>
</file>