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 – MYCOPLASMA, UREAPLASMA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335"/>
        <w:gridCol w:w="1112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tabs>
                <w:tab w:val="left" w:pos="1695" w:leader="none"/>
              </w:tabs>
              <w:ind w:left="5" w:right="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do diagnostyki mykoplazmatycznych zakażeń dróg moczowo-płciowych (identyfikacja, ocena ilości i lekowrażliwości zakażeń wywołanych przez </w:t>
            </w:r>
            <w:r>
              <w:rPr>
                <w:i/>
              </w:rPr>
              <w:t>Ureaplasma urealyticum</w:t>
            </w:r>
            <w:r>
              <w:rPr/>
              <w:t xml:space="preserve"> i </w:t>
            </w:r>
            <w:r>
              <w:rPr>
                <w:i/>
              </w:rPr>
              <w:t xml:space="preserve">Mycoplasma hominis . </w:t>
            </w:r>
            <w:r>
              <w:rPr>
                <w:i w:val="false"/>
                <w:iCs w:val="false"/>
              </w:rPr>
              <w:t>Test bez dodatkowej możliwości wykrywania  Trichomonas vaginalis.</w:t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Testy powinny zawierać podłoża do pobierania i transportu materiału klinicznego. Możliwość jednoczesnej identyfikacji, oceny ilościowej i lekowrażliwości.( w tym  Josamycyna i Pristinamycyna). Jednoczesny  odczyt wyników identyfikacji i lekowrażliwości </w:t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w ciągu 24-48 godzin.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</w:t>
            </w:r>
          </w:p>
          <w:p>
            <w:pPr>
              <w:pStyle w:val="Normal"/>
              <w:jc w:val="center"/>
              <w:rPr/>
            </w:pPr>
            <w:r>
              <w:rPr/>
              <w:t>× 25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8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LibreOffice/5.2.2.2$Windows_x86 LibreOffice_project/8f96e87c890bf8fa77463cd4b640a2312823f3ad</Application>
  <Pages>1</Pages>
  <Words>114</Words>
  <Characters>715</Characters>
  <CharactersWithSpaces>816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2014-12-08T11:47:17Z</dcterms:created>
  <dc:creator/>
  <dc:description/>
  <dc:language>pl-PL</dc:language>
  <cp:lastModifiedBy/>
  <cp:lastPrinted>2017-06-22T12:04:26Z</cp:lastPrinted>
  <dcterms:modified xsi:type="dcterms:W3CDTF">2019-04-29T11:50:31Z</dcterms:modified>
  <cp:revision>20</cp:revision>
  <dc:subject/>
  <dc:title/>
</cp:coreProperties>
</file>