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highlight w:val="white"/>
        </w:rPr>
        <w:t xml:space="preserve">Oznaczenie sprawy: </w:t>
      </w:r>
      <w:r>
        <w:rPr>
          <w:rFonts w:ascii="Arial" w:hAnsi="Arial"/>
          <w:sz w:val="22"/>
          <w:szCs w:val="22"/>
          <w:highlight w:val="white"/>
        </w:rPr>
        <w:t>04</w:t>
      </w:r>
      <w:r>
        <w:rPr>
          <w:rFonts w:ascii="Arial" w:hAnsi="Arial"/>
          <w:sz w:val="22"/>
          <w:szCs w:val="22"/>
          <w:highlight w:val="white"/>
        </w:rPr>
        <w:t>/ZP/201</w:t>
      </w:r>
      <w:r>
        <w:rPr>
          <w:rFonts w:ascii="Arial" w:hAnsi="Arial"/>
          <w:sz w:val="22"/>
          <w:szCs w:val="22"/>
          <w:highlight w:val="white"/>
        </w:rPr>
        <w:t>9</w:t>
      </w:r>
      <w:r>
        <w:rPr>
          <w:rFonts w:ascii="Arial" w:hAnsi="Arial"/>
          <w:sz w:val="22"/>
          <w:szCs w:val="22"/>
          <w:highlight w:val="white"/>
        </w:rPr>
        <w:t xml:space="preserve">                                                                Załącznik Nr 4 do SIWZ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pPr>
      <w:r>
        <w:rPr>
          <w:rFonts w:ascii="Arial" w:hAnsi="Arial"/>
          <w:b/>
          <w:sz w:val="22"/>
          <w:szCs w:val="22"/>
          <w:highlight w:val="white"/>
        </w:rPr>
        <w:t>Projekt Umowy</w:t>
      </w:r>
    </w:p>
    <w:p>
      <w:pPr>
        <w:pStyle w:val="Standard"/>
        <w:jc w:val="center"/>
        <w:rPr/>
      </w:pPr>
      <w:r>
        <w:rPr>
          <w:rFonts w:ascii="Arial" w:hAnsi="Arial"/>
          <w:b/>
          <w:sz w:val="22"/>
          <w:szCs w:val="22"/>
          <w:highlight w:val="white"/>
        </w:rPr>
        <w:t xml:space="preserve"> </w:t>
      </w:r>
      <w:r>
        <w:rPr>
          <w:rFonts w:ascii="Arial" w:hAnsi="Arial"/>
          <w:b/>
          <w:sz w:val="22"/>
          <w:szCs w:val="22"/>
          <w:highlight w:val="white"/>
        </w:rPr>
        <w:t>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pPr>
      <w:r>
        <w:rPr>
          <w:rFonts w:ascii="Arial" w:hAnsi="Arial"/>
          <w:sz w:val="22"/>
          <w:szCs w:val="22"/>
          <w:highlight w:val="white"/>
        </w:rPr>
        <w:t xml:space="preserve">Umowa zawarta w dniu  </w:t>
      </w:r>
      <w:r>
        <w:rPr>
          <w:rFonts w:ascii="Arial" w:hAnsi="Arial"/>
          <w:b/>
          <w:sz w:val="22"/>
          <w:szCs w:val="22"/>
          <w:highlight w:val="white"/>
        </w:rPr>
        <w:t>________________201</w:t>
      </w:r>
      <w:r>
        <w:rPr>
          <w:rFonts w:ascii="Arial" w:hAnsi="Arial"/>
          <w:b/>
          <w:sz w:val="22"/>
          <w:szCs w:val="22"/>
          <w:highlight w:val="white"/>
        </w:rPr>
        <w:t>9</w:t>
      </w:r>
      <w:r>
        <w:rPr>
          <w:rFonts w:ascii="Arial" w:hAnsi="Arial"/>
          <w:b/>
          <w:sz w:val="22"/>
          <w:szCs w:val="22"/>
          <w:highlight w:val="white"/>
        </w:rPr>
        <w:t xml:space="preserve">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b/>
          <w:sz w:val="22"/>
          <w:szCs w:val="22"/>
          <w:highlight w:val="white"/>
        </w:rPr>
        <w:t>Samodzielnym Publicznym Zespołem Opieki Zdrowotnej w Proszowicach</w:t>
      </w:r>
      <w:r>
        <w:rPr>
          <w:rFonts w:ascii="Arial" w:hAnsi="Arial"/>
          <w:sz w:val="22"/>
          <w:szCs w:val="22"/>
          <w:highlight w:val="white"/>
        </w:rPr>
        <w:t xml:space="preserve">,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w:t>
      </w:r>
      <w:r>
        <w:rPr>
          <w:rFonts w:ascii="Arial" w:hAnsi="Arial"/>
          <w:b/>
          <w:bCs/>
          <w:sz w:val="22"/>
          <w:szCs w:val="22"/>
          <w:highlight w:val="white"/>
        </w:rPr>
        <w:t>„Odbiorcą”</w:t>
      </w:r>
      <w:r>
        <w:rPr>
          <w:rFonts w:ascii="Arial" w:hAnsi="Arial"/>
          <w:sz w:val="22"/>
          <w:szCs w:val="22"/>
          <w:highlight w:val="white"/>
        </w:rPr>
        <w:t>, którego reprezentuje :</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Dyrektor SP ZOZ w Proszowicach – Leszek Kołacz</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pPr>
      <w:r>
        <w:rPr>
          <w:rFonts w:ascii="Arial" w:hAnsi="Arial"/>
          <w:b w:val="false"/>
          <w:bCs w:val="false"/>
          <w:sz w:val="22"/>
          <w:szCs w:val="22"/>
          <w:highlight w:val="white"/>
        </w:rPr>
        <w:t>______________________________________________________________________________</w:t>
      </w:r>
      <w:r>
        <w:rPr>
          <w:rFonts w:ascii="Arial" w:hAnsi="Arial"/>
          <w:sz w:val="22"/>
          <w:szCs w:val="22"/>
          <w:highlight w:val="white"/>
        </w:rPr>
        <w:t xml:space="preserve"> </w:t>
      </w:r>
      <w:bookmarkStart w:id="0" w:name="__DdeLink__4936_1834232093"/>
      <w:r>
        <w:rPr>
          <w:rFonts w:ascii="Arial" w:hAnsi="Arial"/>
          <w:sz w:val="22"/>
          <w:szCs w:val="22"/>
          <w:highlight w:val="white"/>
        </w:rPr>
        <w:t xml:space="preserve">zwaną dalej </w:t>
      </w:r>
      <w:r>
        <w:rPr>
          <w:rFonts w:ascii="Arial" w:hAnsi="Arial"/>
          <w:b/>
          <w:bCs/>
          <w:sz w:val="22"/>
          <w:szCs w:val="22"/>
          <w:highlight w:val="white"/>
        </w:rPr>
        <w:t>„Dostawcą”</w:t>
      </w:r>
      <w:r>
        <w:rPr>
          <w:rFonts w:ascii="Arial" w:hAnsi="Arial"/>
          <w:sz w:val="22"/>
          <w:szCs w:val="22"/>
          <w:highlight w:val="white"/>
        </w:rPr>
        <w:t>,</w:t>
      </w:r>
      <w:r>
        <w:rPr>
          <w:rFonts w:ascii="Arial" w:hAnsi="Arial"/>
          <w:b/>
          <w:sz w:val="22"/>
          <w:szCs w:val="22"/>
          <w:highlight w:val="white"/>
        </w:rPr>
        <w:t xml:space="preserve"> </w:t>
      </w:r>
      <w:bookmarkEnd w:id="0"/>
      <w:r>
        <w:rPr>
          <w:rFonts w:ascii="Arial" w:hAnsi="Arial"/>
          <w:sz w:val="22"/>
          <w:szCs w:val="22"/>
          <w:highlight w:val="white"/>
        </w:rPr>
        <w:t>w imieniu której działają:</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Umowę zawarto w trybie przetargu nieograniczonego zgodnie z ustawą z dnia 29 stycznia 2004 roku Prawo zamówień publicznych (tekst jednolity: Dz. U. z 201</w:t>
      </w:r>
      <w:r>
        <w:rPr>
          <w:rFonts w:ascii="Arial" w:hAnsi="Arial"/>
          <w:sz w:val="22"/>
          <w:szCs w:val="22"/>
          <w:highlight w:val="white"/>
        </w:rPr>
        <w:t>8</w:t>
      </w:r>
      <w:r>
        <w:rPr>
          <w:rFonts w:ascii="Arial" w:hAnsi="Arial"/>
          <w:sz w:val="22"/>
          <w:szCs w:val="22"/>
          <w:highlight w:val="white"/>
        </w:rPr>
        <w:t xml:space="preserve"> r. poz. 19</w:t>
      </w:r>
      <w:r>
        <w:rPr>
          <w:rFonts w:ascii="Arial" w:hAnsi="Arial"/>
          <w:sz w:val="22"/>
          <w:szCs w:val="22"/>
          <w:highlight w:val="white"/>
        </w:rPr>
        <w:t>86</w:t>
      </w:r>
      <w:r>
        <w:rPr>
          <w:rFonts w:ascii="Arial" w:hAnsi="Arial"/>
          <w:sz w:val="22"/>
          <w:szCs w:val="22"/>
          <w:highlight w:val="white"/>
        </w:rPr>
        <w:t xml:space="preserve"> z późniejszymi zmianami) numer sprawy: </w:t>
      </w:r>
      <w:r>
        <w:rPr>
          <w:rFonts w:ascii="Arial" w:hAnsi="Arial"/>
          <w:sz w:val="22"/>
          <w:szCs w:val="22"/>
          <w:highlight w:val="white"/>
        </w:rPr>
        <w:t>04</w:t>
      </w:r>
      <w:r>
        <w:rPr>
          <w:rFonts w:ascii="Arial" w:hAnsi="Arial"/>
          <w:sz w:val="22"/>
          <w:szCs w:val="22"/>
          <w:highlight w:val="white"/>
        </w:rPr>
        <w:t>/ZP/201</w:t>
      </w:r>
      <w:r>
        <w:rPr>
          <w:rFonts w:ascii="Arial" w:hAnsi="Arial"/>
          <w:sz w:val="22"/>
          <w:szCs w:val="22"/>
          <w:highlight w:val="white"/>
        </w:rPr>
        <w:t>9</w:t>
      </w:r>
      <w:r>
        <w:rPr>
          <w:rFonts w:ascii="Arial" w:hAnsi="Arial"/>
          <w:sz w:val="22"/>
          <w:szCs w:val="22"/>
          <w:highlight w:val="white"/>
        </w:rPr>
        <w:t>.</w:t>
      </w:r>
    </w:p>
    <w:p>
      <w:pPr>
        <w:pStyle w:val="Standard"/>
        <w:jc w:val="both"/>
        <w:rPr>
          <w:rFonts w:ascii="Arial" w:hAnsi="Arial"/>
          <w:b/>
          <w:b/>
          <w:sz w:val="22"/>
          <w:szCs w:val="22"/>
          <w:highlight w:val="white"/>
        </w:rPr>
      </w:pPr>
      <w:r>
        <w:rPr>
          <w:rFonts w:ascii="Arial" w:hAnsi="Arial"/>
          <w:b/>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1</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numPr>
          <w:ilvl w:val="0"/>
          <w:numId w:val="1"/>
        </w:numPr>
        <w:spacing w:lineRule="auto" w:line="240" w:before="0" w:after="120"/>
        <w:ind w:left="360" w:right="0" w:hanging="357"/>
        <w:jc w:val="both"/>
        <w:rPr/>
      </w:pPr>
      <w:r>
        <w:rPr>
          <w:rFonts w:ascii="Arial" w:hAnsi="Arial"/>
          <w:sz w:val="22"/>
          <w:szCs w:val="22"/>
          <w:highlight w:val="white"/>
        </w:rPr>
        <w:t>Niniejsza umowa ma charakter ramowy, w ramach której Dostawca zobowiązuje się do periodycznego dostarczenia Odbiorcy wyrobów medycznych</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right="0" w:hanging="357"/>
        <w:jc w:val="both"/>
        <w:rPr>
          <w:rFonts w:ascii="Arial" w:hAnsi="Arial"/>
          <w:sz w:val="22"/>
          <w:szCs w:val="22"/>
          <w:highlight w:val="white"/>
        </w:rPr>
      </w:pPr>
      <w:r>
        <w:rPr>
          <w:rFonts w:ascii="Arial" w:hAnsi="Arial"/>
          <w:sz w:val="22"/>
          <w:szCs w:val="22"/>
          <w:highlight w:val="white"/>
        </w:rPr>
        <w:t>Wartość brutto przedmiotu umowy wynosi do_____________ zł (słownie: ________ złotych)        w tym podatek od towarów i usług VAT _______________zł(słownie:____________________).</w:t>
      </w:r>
    </w:p>
    <w:p>
      <w:pPr>
        <w:pStyle w:val="Standard"/>
        <w:widowControl w:val="false"/>
        <w:numPr>
          <w:ilvl w:val="0"/>
          <w:numId w:val="1"/>
        </w:numPr>
        <w:suppressAutoHyphens w:val="true"/>
        <w:overflowPunct w:val="false"/>
        <w:bidi w:val="0"/>
        <w:spacing w:before="0" w:after="120"/>
        <w:ind w:left="397" w:right="0" w:hanging="397"/>
        <w:jc w:val="both"/>
        <w:textAlignment w:val="baseline"/>
        <w:rPr/>
      </w:pPr>
      <w:r>
        <w:rPr>
          <w:rFonts w:ascii="Arial" w:hAnsi="Arial"/>
          <w:sz w:val="22"/>
          <w:szCs w:val="22"/>
          <w:highlight w:val="white"/>
        </w:rPr>
        <w:t>Podana wartość brutto zawiera pełną cenę dostarczonych w ramach umowy wyrobów medycznych</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widowControl w:val="false"/>
        <w:numPr>
          <w:ilvl w:val="0"/>
          <w:numId w:val="1"/>
        </w:numPr>
        <w:suppressAutoHyphens w:val="true"/>
        <w:overflowPunct w:val="false"/>
        <w:bidi w:val="0"/>
        <w:spacing w:before="0" w:after="120"/>
        <w:ind w:left="397" w:right="0" w:hanging="397"/>
        <w:jc w:val="both"/>
        <w:textAlignment w:val="baseline"/>
        <w:rPr/>
      </w:pPr>
      <w:r>
        <w:rPr>
          <w:rFonts w:ascii="Arial" w:hAnsi="Arial"/>
          <w:sz w:val="22"/>
          <w:szCs w:val="22"/>
          <w:highlight w:val="white"/>
        </w:rPr>
        <w:t>Ceny netto objętych umową wyrobów medycznych, za wyjątkiem przypadków dopuszczonych w umowie, nie ulegną zmianie w okresie trwania umowy.</w:t>
      </w:r>
    </w:p>
    <w:p>
      <w:pPr>
        <w:pStyle w:val="Standard"/>
        <w:numPr>
          <w:ilvl w:val="0"/>
          <w:numId w:val="1"/>
        </w:numPr>
        <w:spacing w:before="0" w:after="120"/>
        <w:ind w:left="375" w:right="0" w:hanging="357"/>
        <w:jc w:val="both"/>
        <w:rPr>
          <w:highlight w:val="white"/>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2</w:t>
      </w:r>
    </w:p>
    <w:p>
      <w:pPr>
        <w:pStyle w:val="Standard"/>
        <w:numPr>
          <w:ilvl w:val="0"/>
          <w:numId w:val="7"/>
        </w:numPr>
        <w:spacing w:before="0" w:after="120"/>
        <w:jc w:val="both"/>
        <w:rPr/>
      </w:pPr>
      <w:r>
        <w:rPr>
          <w:rFonts w:ascii="Arial" w:hAnsi="Arial"/>
          <w:sz w:val="22"/>
          <w:szCs w:val="22"/>
          <w:highlight w:val="white"/>
        </w:rPr>
        <w:t xml:space="preserve">Dostawa poszczególnej partii </w:t>
      </w:r>
      <w:r>
        <w:rPr>
          <w:rFonts w:cs="Arial" w:ascii="Arial" w:hAnsi="Arial"/>
          <w:sz w:val="22"/>
          <w:szCs w:val="22"/>
          <w:highlight w:val="white"/>
        </w:rPr>
        <w:t xml:space="preserve"> wyrobów medycznych re</w:t>
      </w:r>
      <w:r>
        <w:rPr>
          <w:rFonts w:ascii="Arial" w:hAnsi="Arial"/>
          <w:sz w:val="22"/>
          <w:szCs w:val="22"/>
          <w:highlight w:val="white"/>
        </w:rPr>
        <w:t>alizowana będzie przez Dostawcę na podstawie pisemnych zamówień (w tym wysłanych faksem), składanych przez upoważnionego pracownika/pracowników Odbiorcy, tj. Kierownika Apteki Szpitalnej lub jego zastępcę.</w:t>
      </w:r>
    </w:p>
    <w:p>
      <w:pPr>
        <w:pStyle w:val="Standard"/>
        <w:numPr>
          <w:ilvl w:val="0"/>
          <w:numId w:val="7"/>
        </w:numPr>
        <w:spacing w:before="0" w:after="120"/>
        <w:jc w:val="both"/>
        <w:rPr>
          <w:highlight w:val="white"/>
        </w:rPr>
      </w:pPr>
      <w:r>
        <w:rPr>
          <w:rFonts w:ascii="Arial" w:hAnsi="Arial"/>
          <w:sz w:val="22"/>
          <w:szCs w:val="22"/>
          <w:highlight w:val="white"/>
        </w:rPr>
        <w:t>Dostawca zobowiązuje się dostarczyć przedmiot konkretnego zamówienia wraz z fakturą i wszelkimi niezbędnymi dokumentami (o ile będą wymagane) do siedziby Odbiorcy na własny koszt i ryzyko, w terminie</w:t>
      </w:r>
      <w:r>
        <w:rPr>
          <w:rFonts w:ascii="Arial" w:hAnsi="Arial"/>
          <w:b w:val="false"/>
          <w:bCs w:val="false"/>
          <w:sz w:val="22"/>
          <w:szCs w:val="22"/>
          <w:highlight w:val="white"/>
        </w:rPr>
        <w:t xml:space="preserve"> 3 dni roboczych od daty złożenia jednostkowego zamówienia.</w:t>
      </w:r>
    </w:p>
    <w:p>
      <w:pPr>
        <w:pStyle w:val="Standard"/>
        <w:numPr>
          <w:ilvl w:val="0"/>
          <w:numId w:val="7"/>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Każda dostawa powinna być dokonana jednorazowo zgodnie ze złożonym zamówieniem pod względem ilościowym i asortymentowym.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Zamówiona część przedmiotu umowy objęta realizowanym zamówieniem ma być odpowiednio opakowana w sposób zabezpieczający przed uszkodzeniem lub zepsuciem.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7"/>
        </w:numPr>
        <w:spacing w:before="0" w:after="120"/>
        <w:jc w:val="both"/>
        <w:rPr/>
      </w:pPr>
      <w:r>
        <w:rPr>
          <w:rFonts w:ascii="Arial" w:hAnsi="Arial"/>
          <w:sz w:val="22"/>
          <w:szCs w:val="22"/>
          <w:highlight w:val="white"/>
        </w:rPr>
        <w:t>Strony postanawiają, że ceny poszczególnych wyrobów medycznych/szwów chirurgicznych/środków dezynfekcyjnych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pPr>
      <w:r>
        <w:rPr>
          <w:rFonts w:ascii="Arial" w:hAnsi="Arial"/>
          <w:b/>
          <w:sz w:val="22"/>
          <w:szCs w:val="22"/>
          <w:highlight w:val="white"/>
        </w:rPr>
        <w:t>§ 3</w:t>
      </w:r>
    </w:p>
    <w:p>
      <w:pPr>
        <w:pStyle w:val="Standard"/>
        <w:numPr>
          <w:ilvl w:val="0"/>
          <w:numId w:val="2"/>
        </w:numPr>
        <w:spacing w:before="0" w:after="120"/>
        <w:jc w:val="both"/>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bookmarkStart w:id="1" w:name="__DdeLink__20721_356975269"/>
      <w:r>
        <w:rPr>
          <w:rFonts w:ascii="Arial" w:hAnsi="Arial"/>
          <w:sz w:val="22"/>
          <w:szCs w:val="22"/>
          <w:highlight w:val="white"/>
        </w:rPr>
        <w:t>wyrobów medycznych</w:t>
      </w:r>
      <w:bookmarkEnd w:id="1"/>
      <w:r>
        <w:rPr>
          <w:rFonts w:cs="Arial" w:ascii="Arial" w:hAnsi="Arial"/>
          <w:sz w:val="22"/>
          <w:szCs w:val="22"/>
          <w:highlight w:val="white"/>
        </w:rPr>
        <w:t>.</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pPr>
      <w:r>
        <w:rPr>
          <w:rFonts w:ascii="Arial" w:hAnsi="Arial"/>
          <w:sz w:val="22"/>
          <w:szCs w:val="22"/>
          <w:highlight w:val="white"/>
        </w:rPr>
        <w:t xml:space="preserve">Zapłata wynagrodzenia dokonana zostanie w terminie </w:t>
      </w:r>
      <w:r>
        <w:rPr>
          <w:rFonts w:ascii="Arial" w:hAnsi="Arial"/>
          <w:sz w:val="22"/>
          <w:szCs w:val="22"/>
          <w:highlight w:val="white"/>
        </w:rPr>
        <w:t>60</w:t>
      </w:r>
      <w:r>
        <w:rPr>
          <w:rFonts w:ascii="Arial" w:hAnsi="Arial"/>
          <w:sz w:val="22"/>
          <w:szCs w:val="22"/>
          <w:highlight w:val="white"/>
        </w:rPr>
        <w:t xml:space="preserve">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rFonts w:ascii="Arial" w:hAnsi="Arial"/>
          <w:b/>
          <w:sz w:val="22"/>
          <w:szCs w:val="22"/>
          <w:highlight w:val="white"/>
        </w:rPr>
        <w:t>§ 4</w:t>
      </w:r>
    </w:p>
    <w:p>
      <w:pPr>
        <w:pStyle w:val="Standard"/>
        <w:numPr>
          <w:ilvl w:val="0"/>
          <w:numId w:val="3"/>
        </w:numPr>
        <w:tabs>
          <w:tab w:val="left" w:pos="720" w:leader="none"/>
        </w:tabs>
        <w:spacing w:before="0" w:after="120"/>
        <w:jc w:val="both"/>
        <w:rPr/>
      </w:pPr>
      <w:r>
        <w:rPr>
          <w:rFonts w:ascii="Arial" w:hAnsi="Arial"/>
          <w:sz w:val="22"/>
          <w:szCs w:val="22"/>
          <w:highlight w:val="white"/>
        </w:rPr>
        <w:t>Dostawca gwarantuje i zapewnia, że objęte przedmiotem umowy wyroby medyczne będą dopuszczone do obrotu, nowe, wolne od wad i terminie ważności nie krótszym niż 12 miesięcy.</w:t>
      </w:r>
    </w:p>
    <w:p>
      <w:pPr>
        <w:pStyle w:val="Standard"/>
        <w:numPr>
          <w:ilvl w:val="0"/>
          <w:numId w:val="3"/>
        </w:numPr>
        <w:tabs>
          <w:tab w:val="left" w:pos="720" w:leader="none"/>
        </w:tabs>
        <w:spacing w:before="0" w:after="120"/>
        <w:jc w:val="both"/>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 w działalności medycznej                      i szpitalnej.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w:t>
      </w:r>
      <w:r>
        <w:rPr>
          <w:rFonts w:ascii="Arial" w:hAnsi="Arial"/>
          <w:sz w:val="22"/>
          <w:szCs w:val="22"/>
          <w:highlight w:val="white"/>
        </w:rPr>
        <w:t xml:space="preserve"> ceny, aż do czasu dostarczenia przez Odbiorcę wyrobów medycznych</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pPr>
      <w:r>
        <w:rPr>
          <w:rFonts w:ascii="Arial" w:hAnsi="Arial"/>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numPr>
          <w:ilvl w:val="0"/>
          <w:numId w:val="0"/>
        </w:numPr>
        <w:spacing w:before="0" w:after="120"/>
        <w:ind w:left="720" w:hanging="0"/>
        <w:jc w:val="both"/>
        <w:rPr>
          <w:rFonts w:ascii="Arial" w:hAnsi="Arial"/>
          <w:highlight w:val="white"/>
        </w:rPr>
      </w:pPr>
      <w:r>
        <w:rPr>
          <w:rFonts w:ascii="Arial" w:hAnsi="Arial"/>
          <w:sz w:val="22"/>
          <w:szCs w:val="22"/>
          <w:highlight w:val="white"/>
        </w:rPr>
        <w:t xml:space="preserve">a) </w:t>
      </w:r>
      <w:r>
        <w:rPr>
          <w:rFonts w:eastAsia="Tahoma" w:cs="Tahoma" w:ascii="Arial" w:hAnsi="Arial"/>
          <w:b w:val="false"/>
          <w:bCs w:val="false"/>
          <w:color w:val="000000"/>
          <w:sz w:val="22"/>
          <w:szCs w:val="24"/>
          <w:highlight w:val="white"/>
          <w:u w:val="none"/>
          <w:lang w:val="pl-PL"/>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
        <w:numPr>
          <w:ilvl w:val="0"/>
          <w:numId w:val="0"/>
        </w:numPr>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b w:val="false"/>
          <w:bCs w:val="false"/>
          <w:sz w:val="22"/>
          <w:szCs w:val="22"/>
          <w:highlight w:val="white"/>
          <w:u w:val="none"/>
          <w:lang w:val="pl-PL"/>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Dostawca zapłaci Odbiorcy karę umowną w przypadku odstąpienia przez niego od umowy z winy Dostawcy w wysokości 5%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pPr>
        <w:pStyle w:val="Standard"/>
        <w:numPr>
          <w:ilvl w:val="0"/>
          <w:numId w:val="8"/>
        </w:numPr>
        <w:spacing w:before="0" w:after="120"/>
        <w:jc w:val="both"/>
        <w:rPr>
          <w:rFonts w:ascii="Arial" w:hAnsi="Arial" w:eastAsia="Times New Roman CE" w:cs="Times New Roman CE"/>
          <w:b w:val="false"/>
          <w:b w:val="false"/>
          <w:bCs w:val="false"/>
          <w:color w:val="000000"/>
          <w:sz w:val="22"/>
          <w:szCs w:val="22"/>
          <w:highlight w:val="white"/>
          <w:u w:val="none"/>
          <w:lang w:val="pl-PL"/>
        </w:rPr>
      </w:pPr>
      <w:r>
        <w:rPr>
          <w:rFonts w:eastAsia="Times New Roman CE" w:cs="Times New Roman CE" w:ascii="Arial" w:hAnsi="Arial"/>
          <w:b w:val="false"/>
          <w:bCs w:val="false"/>
          <w:color w:val="000000"/>
          <w:sz w:val="22"/>
          <w:szCs w:val="22"/>
          <w:highlight w:val="white"/>
          <w:u w:val="none"/>
          <w:lang w:val="pl-PL"/>
        </w:rPr>
        <w:t>Odbiorca zapłaci Dostawcy karę umowną w przypadku odstąpienia przez niego od umowy z winy Odbiorcy w wysokości 5%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5% połowy określonej powyżej wartości umowy.</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
        <w:numPr>
          <w:ilvl w:val="0"/>
          <w:numId w:val="8"/>
        </w:numPr>
        <w:spacing w:before="0" w:after="120"/>
        <w:jc w:val="both"/>
        <w:rPr>
          <w:rFonts w:ascii="Arial" w:hAnsi="Arial"/>
          <w:color w:val="000000"/>
          <w:sz w:val="22"/>
          <w:szCs w:val="22"/>
          <w:highlight w:val="white"/>
        </w:rPr>
      </w:pPr>
      <w:r>
        <w:rPr>
          <w:rFonts w:ascii="Arial" w:hAnsi="Arial"/>
          <w:color w:val="000000"/>
          <w:sz w:val="22"/>
          <w:szCs w:val="22"/>
          <w:highlight w:val="white"/>
        </w:rPr>
        <w:t>Odbiorca może w każdym czasie odstąpić od żądania zapłaty przez Dostawcę kary umownej.</w:t>
      </w:r>
    </w:p>
    <w:p>
      <w:pPr>
        <w:pStyle w:val="Standard"/>
        <w:jc w:val="center"/>
        <w:rPr>
          <w:rFonts w:ascii="Arial" w:hAnsi="Arial"/>
          <w:b/>
          <w:b/>
          <w:sz w:val="22"/>
          <w:szCs w:val="22"/>
          <w:highlight w:val="white"/>
        </w:rPr>
      </w:pPr>
      <w:r>
        <w:rPr>
          <w:rFonts w:ascii="Arial" w:hAnsi="Arial"/>
          <w:b/>
          <w:sz w:val="22"/>
          <w:szCs w:val="22"/>
          <w:highlight w:val="white"/>
        </w:rPr>
        <w:t>§ 6</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jednak dopuszczalna jeśli pojawi się konieczność dostosowania jej treści do powszechnie obowiązujących przepisów prawa.</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dopuszczalna jeżeli potrzeba takiej zmiany wynikać będzie z konieczności ratowania życia lub zdrowia pacjentów Odbiorcy.</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Dopuszcza się możliwość przedłużenia obowiązywania umowy przez okres nie dłuższy niż trzy miesiące, przy zastosowaniu zasad i wysokości wynagrodzenia określonego w treści umowy.</w:t>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Umowę zawiera się na czas określony do dnia __________.</w:t>
      </w:r>
    </w:p>
    <w:p>
      <w:pPr>
        <w:pStyle w:val="Standard"/>
        <w:numPr>
          <w:ilvl w:val="0"/>
          <w:numId w:val="5"/>
        </w:numPr>
        <w:spacing w:before="0" w:after="120"/>
        <w:jc w:val="both"/>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tabs>
          <w:tab w:val="left" w:pos="547" w:leader="none"/>
          <w:tab w:val="left" w:pos="4463" w:leader="none"/>
        </w:tabs>
        <w:overflowPunct w:val="true"/>
        <w:jc w:val="center"/>
        <w:rPr>
          <w:rFonts w:ascii="Arial" w:hAnsi="Arial"/>
          <w:b/>
          <w:b/>
          <w:sz w:val="22"/>
          <w:szCs w:val="22"/>
          <w:highlight w:val="white"/>
        </w:rPr>
      </w:pPr>
      <w:r>
        <w:rPr>
          <w:rFonts w:ascii="Arial" w:hAnsi="Arial"/>
          <w:b/>
          <w:sz w:val="22"/>
          <w:szCs w:val="22"/>
          <w:highlight w:val="white"/>
        </w:rPr>
        <w:t>§ 8</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Umowę sporządzono w trzech jednobrzmiących egzemplarzach, w tym dwa egzemplarze otrzymuje Odbiorca, a jeden egzemplarz otrzymuje Dostawca.</w:t>
      </w:r>
    </w:p>
    <w:p>
      <w:pPr>
        <w:pStyle w:val="Standard"/>
        <w:rPr>
          <w:rFonts w:ascii="Times New Roman" w:hAnsi="Times New Roman" w:eastAsia="Times New Roman CE" w:cs="Times New Roman CE"/>
          <w:b w:val="false"/>
          <w:b w:val="false"/>
          <w:bCs w:val="false"/>
          <w:color w:val="000000"/>
          <w:sz w:val="22"/>
          <w:szCs w:val="24"/>
          <w:highlight w:val="yellow"/>
          <w:u w:val="none"/>
          <w:lang w:val="pl-PL"/>
        </w:rPr>
      </w:pPr>
      <w:r>
        <w:rPr>
          <w:rFonts w:eastAsia="Times New Roman CE" w:cs="Times New Roman CE"/>
          <w:b w:val="false"/>
          <w:bCs w:val="false"/>
          <w:color w:val="000000"/>
          <w:sz w:val="22"/>
          <w:szCs w:val="24"/>
          <w:highlight w:val="yellow"/>
          <w:u w:val="none"/>
          <w:lang w:val="pl-PL"/>
        </w:rPr>
      </w:r>
    </w:p>
    <w:p>
      <w:pPr>
        <w:pStyle w:val="Normal"/>
        <w:jc w:val="both"/>
        <w:rPr/>
      </w:pPr>
      <w:r>
        <w:rPr/>
      </w:r>
    </w:p>
    <w:sectPr>
      <w:type w:val="nextPage"/>
      <w:pgSz w:w="11906" w:h="16838"/>
      <w:pgMar w:left="1134" w:right="1134" w:header="0" w:top="1134" w:footer="0" w:bottom="9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pl-PL" w:eastAsia="zh-CN" w:bidi="hi-IN"/>
      </w:rPr>
    </w:rPrDefault>
    <w:pPrDefault>
      <w:pPr/>
    </w:pPrDefault>
  </w:docDefaults>
  <w:style w:type="paragraph" w:styleId="Normal">
    <w:name w:val="Normal"/>
    <w:qFormat/>
    <w:pPr>
      <w:widowControl w:val="false"/>
      <w:overflowPunct w:val="false"/>
      <w:bidi w:val="0"/>
      <w:jc w:val="left"/>
    </w:pPr>
    <w:rPr>
      <w:rFonts w:ascii="Times New Roman" w:hAnsi="Times New Roman" w:eastAsia="SimSun" w:cs="Mangal"/>
      <w:color w:val="00000A"/>
      <w:sz w:val="24"/>
      <w:szCs w:val="24"/>
      <w:lang w:val="pl-PL" w:eastAsia="zh-CN" w:bidi="hi-IN"/>
    </w:rPr>
  </w:style>
  <w:style w:type="character" w:styleId="WW8Num28z0">
    <w:name w:val="WW8Num28z0"/>
    <w:qFormat/>
    <w:rPr>
      <w:b w:val="false"/>
      <w:i w:val="false"/>
    </w:rPr>
  </w:style>
  <w:style w:type="character" w:styleId="Znakinumeracji">
    <w:name w:val="Znaki numeracji"/>
    <w:qFormat/>
    <w:rPr/>
  </w:style>
  <w:style w:type="character" w:styleId="WW8Num19z0">
    <w:name w:val="WW8Num19z0"/>
    <w:qFormat/>
    <w:rPr>
      <w:b w:val="false"/>
      <w:i w:val="false"/>
    </w:rPr>
  </w:style>
  <w:style w:type="character" w:styleId="WW8Num13z0">
    <w:name w:val="WW8Num13z0"/>
    <w:qFormat/>
    <w:rPr>
      <w:b w:val="false"/>
      <w:i w:val="false"/>
    </w:rPr>
  </w:style>
  <w:style w:type="character" w:styleId="Czeinternetowe">
    <w:name w:val="Łącze internetowe"/>
    <w:rPr>
      <w:color w:val="000080"/>
      <w:u w:val="single"/>
      <w:lang w:val="zxx" w:eastAsia="zxx" w:bidi="zxx"/>
    </w:rPr>
  </w:style>
  <w:style w:type="character" w:styleId="ListLabel1">
    <w:name w:val="ListLabel 1"/>
    <w:qFormat/>
    <w:rPr>
      <w:rFonts w:ascii="Arial" w:hAnsi="Arial"/>
      <w:b w:val="false"/>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b w:val="false"/>
      <w:i w:val="false"/>
      <w:sz w:val="22"/>
    </w:rPr>
  </w:style>
  <w:style w:type="character" w:styleId="ListLabel4">
    <w:name w:val="ListLabel 4"/>
    <w:qFormat/>
    <w:rPr>
      <w:rFonts w:ascii="Arial" w:hAnsi="Arial"/>
      <w:b w:val="false"/>
      <w:i w:val="false"/>
      <w:sz w:val="22"/>
    </w:rPr>
  </w:style>
  <w:style w:type="character" w:styleId="ListLabel5">
    <w:name w:val="ListLabel 5"/>
    <w:qFormat/>
    <w:rPr>
      <w:rFonts w:ascii="Arial" w:hAnsi="Arial"/>
      <w:b w:val="false"/>
      <w:i w:val="false"/>
      <w:sz w:val="22"/>
    </w:rPr>
  </w:style>
  <w:style w:type="character" w:styleId="ListLabel6">
    <w:name w:val="ListLabel 6"/>
    <w:qFormat/>
    <w:rPr>
      <w:rFonts w:ascii="Arial" w:hAnsi="Arial"/>
      <w:b w:val="false"/>
      <w:i w:val="false"/>
      <w:sz w:val="22"/>
    </w:rPr>
  </w:style>
  <w:style w:type="character" w:styleId="ListLabel7">
    <w:name w:val="ListLabel 7"/>
    <w:qFormat/>
    <w:rPr>
      <w:rFonts w:ascii="Arial" w:hAnsi="Arial"/>
      <w:b w:val="false"/>
      <w:i w:val="false"/>
      <w:sz w:val="22"/>
    </w:rPr>
  </w:style>
  <w:style w:type="character" w:styleId="ListLabel8">
    <w:name w:val="ListLabel 8"/>
    <w:qFormat/>
    <w:rPr>
      <w:rFonts w:ascii="Arial" w:hAnsi="Arial"/>
      <w:b w:val="false"/>
      <w:i w:val="false"/>
      <w:sz w:val="22"/>
    </w:rPr>
  </w:style>
  <w:style w:type="character" w:styleId="ListLabel9">
    <w:name w:val="ListLabel 9"/>
    <w:qFormat/>
    <w:rPr>
      <w:rFonts w:ascii="Arial" w:hAnsi="Arial"/>
      <w:b w:val="false"/>
      <w:i w:val="false"/>
      <w:sz w:val="22"/>
    </w:rPr>
  </w:style>
  <w:style w:type="character" w:styleId="ListLabel10">
    <w:name w:val="ListLabel 10"/>
    <w:qFormat/>
    <w:rPr>
      <w:rFonts w:ascii="Arial" w:hAnsi="Arial"/>
      <w:b w:val="false"/>
      <w:i w:val="false"/>
      <w:sz w:val="22"/>
    </w:rPr>
  </w:style>
  <w:style w:type="character" w:styleId="ListLabel11">
    <w:name w:val="ListLabel 11"/>
    <w:qFormat/>
    <w:rPr>
      <w:rFonts w:ascii="Arial" w:hAnsi="Arial"/>
      <w:b w:val="false"/>
      <w:i w:val="false"/>
      <w:sz w:val="22"/>
    </w:rPr>
  </w:style>
  <w:style w:type="character" w:styleId="ListLabel12">
    <w:name w:val="ListLabel 12"/>
    <w:qFormat/>
    <w:rPr>
      <w:rFonts w:ascii="Arial" w:hAnsi="Arial"/>
      <w:b w:val="false"/>
      <w:i w:val="false"/>
      <w:sz w:val="22"/>
    </w:rPr>
  </w:style>
  <w:style w:type="character" w:styleId="ListLabel13">
    <w:name w:val="ListLabel 13"/>
    <w:qFormat/>
    <w:rPr>
      <w:rFonts w:ascii="Arial" w:hAnsi="Arial"/>
      <w:b w:val="false"/>
      <w:i w:val="false"/>
      <w:sz w:val="22"/>
    </w:rPr>
  </w:style>
  <w:style w:type="character" w:styleId="ListLabel14">
    <w:name w:val="ListLabel 14"/>
    <w:qFormat/>
    <w:rPr>
      <w:rFonts w:ascii="Arial" w:hAnsi="Arial"/>
      <w:b w:val="false"/>
      <w:i w:val="false"/>
      <w:sz w:val="22"/>
    </w:rPr>
  </w:style>
  <w:style w:type="character" w:styleId="ListLabel15">
    <w:name w:val="ListLabel 15"/>
    <w:qFormat/>
    <w:rPr>
      <w:rFonts w:ascii="Arial" w:hAnsi="Arial"/>
      <w:b w:val="false"/>
      <w:i w:val="false"/>
      <w:sz w:val="22"/>
    </w:rPr>
  </w:style>
  <w:style w:type="character" w:styleId="ListLabel16">
    <w:name w:val="ListLabel 16"/>
    <w:qFormat/>
    <w:rPr>
      <w:rFonts w:ascii="Arial" w:hAnsi="Arial"/>
      <w:b w:val="false"/>
      <w:i w:val="false"/>
      <w:sz w:val="22"/>
    </w:rPr>
  </w:style>
  <w:style w:type="character" w:styleId="ListLabel17">
    <w:name w:val="ListLabel 17"/>
    <w:qFormat/>
    <w:rPr>
      <w:rFonts w:ascii="Arial" w:hAnsi="Arial"/>
      <w:b w:val="false"/>
      <w:i w:val="false"/>
      <w:sz w:val="22"/>
    </w:rPr>
  </w:style>
  <w:style w:type="character" w:styleId="ListLabel18">
    <w:name w:val="ListLabel 18"/>
    <w:qFormat/>
    <w:rPr>
      <w:rFonts w:ascii="Arial" w:hAnsi="Arial"/>
      <w:b w:val="false"/>
      <w:i w:val="false"/>
      <w:sz w:val="22"/>
    </w:rPr>
  </w:style>
  <w:style w:type="character" w:styleId="ListLabel19">
    <w:name w:val="ListLabel 19"/>
    <w:qFormat/>
    <w:rPr>
      <w:rFonts w:ascii="Arial" w:hAnsi="Arial"/>
      <w:b w:val="false"/>
      <w:i w:val="false"/>
      <w:sz w:val="22"/>
    </w:rPr>
  </w:style>
  <w:style w:type="character" w:styleId="ListLabel20">
    <w:name w:val="ListLabel 20"/>
    <w:qFormat/>
    <w:rPr>
      <w:rFonts w:ascii="Arial" w:hAnsi="Arial"/>
      <w:b w:val="false"/>
      <w:i w:val="false"/>
      <w:sz w:val="22"/>
    </w:rPr>
  </w:style>
  <w:style w:type="character" w:styleId="ListLabel21">
    <w:name w:val="ListLabel 21"/>
    <w:qFormat/>
    <w:rPr>
      <w:rFonts w:ascii="Arial" w:hAnsi="Arial"/>
      <w:b w:val="false"/>
      <w:i w:val="false"/>
      <w:sz w:val="22"/>
    </w:rPr>
  </w:style>
  <w:style w:type="character" w:styleId="ListLabel22">
    <w:name w:val="ListLabel 22"/>
    <w:qFormat/>
    <w:rPr>
      <w:rFonts w:ascii="Arial" w:hAnsi="Arial"/>
      <w:b w:val="false"/>
      <w:i w:val="false"/>
      <w:sz w:val="22"/>
    </w:rPr>
  </w:style>
  <w:style w:type="character" w:styleId="ListLabel23">
    <w:name w:val="ListLabel 23"/>
    <w:qFormat/>
    <w:rPr>
      <w:rFonts w:ascii="Arial" w:hAnsi="Arial"/>
      <w:b w:val="false"/>
      <w:i w:val="false"/>
      <w:sz w:val="22"/>
    </w:rPr>
  </w:style>
  <w:style w:type="character" w:styleId="ListLabel24">
    <w:name w:val="ListLabel 24"/>
    <w:qFormat/>
    <w:rPr>
      <w:rFonts w:ascii="Arial" w:hAnsi="Arial"/>
      <w:b w:val="false"/>
      <w:i w:val="false"/>
      <w:sz w:val="22"/>
    </w:rPr>
  </w:style>
  <w:style w:type="character" w:styleId="ListLabel25">
    <w:name w:val="ListLabel 25"/>
    <w:qFormat/>
    <w:rPr>
      <w:rFonts w:ascii="Arial" w:hAnsi="Arial"/>
      <w:b w:val="false"/>
      <w:i w:val="false"/>
      <w:sz w:val="22"/>
    </w:rPr>
  </w:style>
  <w:style w:type="character" w:styleId="ListLabel26">
    <w:name w:val="ListLabel 26"/>
    <w:qFormat/>
    <w:rPr>
      <w:rFonts w:ascii="Arial" w:hAnsi="Arial"/>
      <w:b w:val="false"/>
      <w:i w:val="false"/>
      <w:sz w:val="22"/>
    </w:rPr>
  </w:style>
  <w:style w:type="character" w:styleId="ListLabel27">
    <w:name w:val="ListLabel 27"/>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Microsoft YaHei" w:cs="Mangal"/>
      <w:sz w:val="28"/>
      <w:szCs w:val="28"/>
    </w:rPr>
  </w:style>
  <w:style w:type="paragraph" w:styleId="Standard">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numbering" w:styleId="WW8Num28">
    <w:name w:val="WW8Num28"/>
    <w:qFormat/>
  </w:style>
  <w:style w:type="numbering" w:styleId="WW8Num24">
    <w:name w:val="WW8Num24"/>
    <w:qFormat/>
  </w:style>
  <w:style w:type="numbering" w:styleId="WW8Num19">
    <w:name w:val="WW8Num19"/>
    <w:qFormat/>
  </w:style>
  <w:style w:type="numbering" w:styleId="WW8Num26">
    <w:name w:val="WW8Num26"/>
    <w:qFormat/>
  </w:style>
  <w:style w:type="numbering" w:styleId="WW8Num13">
    <w:name w:val="WW8Num13"/>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402</TotalTime>
  <Application>LibreOffice/5.2.1.2$Windows_x86 LibreOffice_project/31dd62db80d4e60af04904455ec9c9219178d620</Application>
  <Pages>5</Pages>
  <Words>2058</Words>
  <Characters>13441</Characters>
  <CharactersWithSpaces>15633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2015-07-07T13:00:28Z</dcterms:created>
  <dc:creator/>
  <dc:description/>
  <dc:language>pl-PL</dc:language>
  <cp:lastModifiedBy/>
  <cp:lastPrinted>2015-08-24T09:54:59Z</cp:lastPrinted>
  <dcterms:modified xsi:type="dcterms:W3CDTF">2019-02-15T13:54:04Z</dcterms:modified>
  <cp:revision>37</cp:revision>
  <dc:subject/>
  <dc:title/>
</cp:coreProperties>
</file>