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left"/>
        <w:rPr/>
      </w:pPr>
      <w:r>
        <w:rPr>
          <w:rFonts w:ascii="Arial" w:hAnsi="Arial"/>
          <w:b w:val="false"/>
          <w:bCs w:val="false"/>
          <w:color w:val="000000"/>
          <w:sz w:val="22"/>
          <w:szCs w:val="22"/>
          <w:highlight w:val="white"/>
          <w:shd w:fill="FFFFFF" w:val="clear"/>
        </w:rPr>
        <w:t xml:space="preserve">Oznaczenie sprawy: </w:t>
      </w:r>
      <w:r>
        <w:rPr>
          <w:rFonts w:ascii="Arial" w:hAnsi="Arial"/>
          <w:b w:val="false"/>
          <w:bCs w:val="false"/>
          <w:color w:val="000000"/>
          <w:sz w:val="22"/>
          <w:szCs w:val="22"/>
          <w:highlight w:val="white"/>
          <w:shd w:fill="FFFFFF" w:val="clear"/>
        </w:rPr>
        <w:t>15</w:t>
      </w:r>
      <w:r>
        <w:rPr>
          <w:rFonts w:ascii="Arial" w:hAnsi="Arial"/>
          <w:b w:val="false"/>
          <w:bCs w:val="false"/>
          <w:color w:val="000000"/>
          <w:sz w:val="22"/>
          <w:szCs w:val="22"/>
          <w:highlight w:val="white"/>
          <w:shd w:fill="FFFFFF" w:val="clear"/>
        </w:rPr>
        <w:t>/ZP/201</w:t>
      </w:r>
      <w:r>
        <w:rPr>
          <w:rFonts w:ascii="Arial" w:hAnsi="Arial"/>
          <w:b w:val="false"/>
          <w:bCs w:val="false"/>
          <w:color w:val="000000"/>
          <w:sz w:val="22"/>
          <w:szCs w:val="22"/>
          <w:highlight w:val="white"/>
          <w:shd w:fill="FFFFFF" w:val="clear"/>
        </w:rPr>
        <w:t>8</w:t>
      </w:r>
      <w:r>
        <w:rPr>
          <w:b/>
          <w:color w:val="000000"/>
          <w:sz w:val="22"/>
          <w:szCs w:val="22"/>
          <w:shd w:fill="FFFFFF" w:val="clear"/>
        </w:rPr>
        <w:t xml:space="preserve">                                                                        </w:t>
      </w:r>
      <w:r>
        <w:rPr>
          <w:rFonts w:ascii="Arial" w:hAnsi="Arial"/>
          <w:b w:val="false"/>
          <w:bCs w:val="false"/>
          <w:color w:val="000000"/>
          <w:sz w:val="22"/>
          <w:szCs w:val="22"/>
          <w:shd w:fill="FFFFFF" w:val="clear"/>
        </w:rPr>
        <w:t>Załącznik Nr 4a do SIWZ</w:t>
      </w:r>
    </w:p>
    <w:p>
      <w:pPr>
        <w:pStyle w:val="Standard"/>
        <w:jc w:val="center"/>
        <w:rPr/>
      </w:pPr>
      <w:r>
        <w:rPr>
          <w:b/>
          <w:color w:val="000000"/>
          <w:sz w:val="22"/>
          <w:szCs w:val="22"/>
          <w:shd w:fill="FFFFFF" w:val="clear"/>
        </w:rPr>
        <w:t xml:space="preserve">    </w:t>
      </w:r>
    </w:p>
    <w:p>
      <w:pPr>
        <w:pStyle w:val="Standard"/>
        <w:jc w:val="center"/>
        <w:rPr/>
      </w:pPr>
      <w:r>
        <w:rPr>
          <w:b/>
          <w:color w:val="000000"/>
          <w:sz w:val="22"/>
          <w:szCs w:val="22"/>
          <w:shd w:fill="FFFFFF" w:val="clear"/>
        </w:rPr>
        <w:t xml:space="preserve">                      </w:t>
      </w:r>
    </w:p>
    <w:p>
      <w:pPr>
        <w:pStyle w:val="Standard"/>
        <w:jc w:val="center"/>
        <w:rPr/>
      </w:pPr>
      <w:r>
        <w:rPr>
          <w:rFonts w:ascii="Arial" w:hAnsi="Arial"/>
          <w:b/>
          <w:color w:val="000000"/>
          <w:sz w:val="22"/>
          <w:szCs w:val="22"/>
          <w:shd w:fill="FFFFFF" w:val="clear"/>
        </w:rPr>
        <w:t xml:space="preserve">               </w:t>
      </w:r>
      <w:r>
        <w:rPr>
          <w:rFonts w:ascii="Arial" w:hAnsi="Arial"/>
          <w:b/>
          <w:color w:val="000000"/>
          <w:sz w:val="22"/>
          <w:szCs w:val="22"/>
          <w:shd w:fill="FFFFFF" w:val="clear"/>
        </w:rPr>
        <w:t xml:space="preserve">Projekt Umowy                 </w:t>
      </w:r>
    </w:p>
    <w:p>
      <w:pPr>
        <w:pStyle w:val="Standard"/>
        <w:jc w:val="center"/>
        <w:rPr/>
      </w:pPr>
      <w:r>
        <w:rPr>
          <w:rFonts w:ascii="Arial" w:hAnsi="Arial"/>
          <w:b/>
          <w:color w:val="000000"/>
          <w:sz w:val="22"/>
          <w:szCs w:val="22"/>
          <w:shd w:fill="FFFFFF" w:val="clear"/>
        </w:rPr>
        <w:t>Dostawy na Zamówienie Publiczne</w:t>
      </w:r>
    </w:p>
    <w:p>
      <w:pPr>
        <w:pStyle w:val="Standard"/>
        <w:jc w:val="center"/>
        <w:rPr>
          <w:rFonts w:ascii="Arial" w:hAnsi="Arial"/>
        </w:rPr>
      </w:pPr>
      <w:r>
        <w:rPr>
          <w:rFonts w:ascii="Arial" w:hAnsi="Arial"/>
          <w:b/>
          <w:color w:val="000000"/>
          <w:sz w:val="22"/>
          <w:szCs w:val="22"/>
          <w:shd w:fill="FFFFFF" w:val="clear"/>
        </w:rPr>
        <w:t>Nr _________</w:t>
      </w:r>
    </w:p>
    <w:p>
      <w:pPr>
        <w:pStyle w:val="Standard"/>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jc w:val="both"/>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jc w:val="center"/>
        <w:rPr/>
      </w:pPr>
      <w:r>
        <w:rPr>
          <w:rFonts w:ascii="Arial" w:hAnsi="Arial"/>
          <w:color w:val="000000"/>
          <w:sz w:val="22"/>
          <w:szCs w:val="22"/>
        </w:rPr>
        <w:t xml:space="preserve">Umowa zawarta w dniu  </w:t>
      </w:r>
      <w:r>
        <w:rPr>
          <w:rFonts w:ascii="Arial" w:hAnsi="Arial"/>
          <w:b/>
          <w:bCs/>
          <w:color w:val="000000"/>
          <w:sz w:val="22"/>
          <w:szCs w:val="22"/>
        </w:rPr>
        <w:t>________201</w:t>
      </w:r>
      <w:r>
        <w:rPr>
          <w:rFonts w:ascii="Arial" w:hAnsi="Arial"/>
          <w:b/>
          <w:bCs/>
          <w:color w:val="000000"/>
          <w:sz w:val="22"/>
          <w:szCs w:val="22"/>
        </w:rPr>
        <w:t>8</w:t>
      </w:r>
      <w:r>
        <w:rPr>
          <w:rFonts w:ascii="Arial" w:hAnsi="Arial"/>
          <w:b/>
          <w:bCs/>
          <w:color w:val="000000"/>
          <w:sz w:val="22"/>
          <w:szCs w:val="22"/>
        </w:rPr>
        <w:t xml:space="preserve"> r.</w:t>
      </w:r>
      <w:r>
        <w:rPr>
          <w:rFonts w:ascii="Arial" w:hAnsi="Arial"/>
          <w:b/>
          <w:color w:val="000000"/>
          <w:sz w:val="22"/>
          <w:szCs w:val="22"/>
        </w:rPr>
        <w:t xml:space="preserve"> </w:t>
      </w:r>
      <w:r>
        <w:rPr>
          <w:rFonts w:ascii="Arial" w:hAnsi="Arial"/>
          <w:color w:val="000000"/>
          <w:sz w:val="22"/>
          <w:szCs w:val="22"/>
        </w:rPr>
        <w:t>w Proszowicach  pomiędzy:</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pPr>
      <w:r>
        <w:rPr>
          <w:rFonts w:ascii="Arial" w:hAnsi="Arial"/>
          <w:b/>
          <w:color w:val="000000"/>
          <w:sz w:val="22"/>
          <w:szCs w:val="22"/>
        </w:rPr>
        <w:t>Samodzielnym Publicznym Zespołem Opieki Zdrowotnej w Proszowicach</w:t>
      </w:r>
      <w:r>
        <w:rPr>
          <w:rFonts w:ascii="Arial" w:hAnsi="Arial"/>
          <w:color w:val="000000"/>
          <w:sz w:val="22"/>
          <w:szCs w:val="22"/>
        </w:rPr>
        <w:t xml:space="preserve">,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zwanym dalej „Odbiorcą”, </w:t>
      </w:r>
      <w:r>
        <w:rPr>
          <w:rFonts w:ascii="Arial" w:hAnsi="Arial"/>
          <w:color w:val="000000"/>
          <w:sz w:val="22"/>
          <w:szCs w:val="22"/>
        </w:rPr>
        <w:t>którego reprezentuje</w:t>
      </w:r>
      <w:r>
        <w:rPr>
          <w:rFonts w:ascii="Arial" w:hAnsi="Arial"/>
          <w:color w:val="000000"/>
          <w:sz w:val="22"/>
          <w:szCs w:val="22"/>
        </w:rPr>
        <w:t>:</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pPr>
      <w:r>
        <w:rPr>
          <w:rFonts w:ascii="Arial" w:hAnsi="Arial"/>
          <w:color w:val="000000"/>
          <w:sz w:val="22"/>
          <w:szCs w:val="22"/>
        </w:rPr>
        <w:t xml:space="preserve">p. o. </w:t>
      </w:r>
      <w:r>
        <w:rPr>
          <w:rFonts w:ascii="Arial" w:hAnsi="Arial"/>
          <w:color w:val="000000"/>
          <w:sz w:val="22"/>
          <w:szCs w:val="22"/>
        </w:rPr>
        <w:t xml:space="preserve">Dyrektora SP ZOZ w Proszowicach – Jan </w:t>
      </w:r>
      <w:r>
        <w:rPr>
          <w:rFonts w:ascii="Arial" w:hAnsi="Arial"/>
          <w:color w:val="000000"/>
          <w:sz w:val="22"/>
          <w:szCs w:val="22"/>
        </w:rPr>
        <w:t>Znamiec</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both"/>
        <w:rPr>
          <w:rFonts w:ascii="Arial" w:hAnsi="Arial"/>
        </w:rPr>
      </w:pPr>
      <w:r>
        <w:rPr>
          <w:rFonts w:ascii="Arial" w:hAnsi="Arial"/>
          <w:color w:val="000000"/>
          <w:sz w:val="22"/>
          <w:szCs w:val="22"/>
        </w:rPr>
        <w:t>a</w:t>
      </w:r>
    </w:p>
    <w:p>
      <w:pPr>
        <w:pStyle w:val="Standard"/>
        <w:jc w:val="both"/>
        <w:rPr>
          <w:rFonts w:ascii="Arial" w:hAnsi="Arial"/>
          <w:color w:val="000000"/>
          <w:sz w:val="22"/>
          <w:szCs w:val="22"/>
        </w:rPr>
      </w:pPr>
      <w:r>
        <w:rPr>
          <w:rFonts w:ascii="Arial" w:hAnsi="Arial"/>
          <w:color w:val="000000"/>
          <w:sz w:val="22"/>
          <w:szCs w:val="22"/>
        </w:rPr>
      </w:r>
    </w:p>
    <w:p>
      <w:pPr>
        <w:pStyle w:val="Normal"/>
        <w:spacing w:lineRule="atLeast" w:line="100"/>
        <w:jc w:val="both"/>
        <w:rPr>
          <w:rFonts w:ascii="Arial" w:hAnsi="Arial"/>
        </w:rPr>
      </w:pPr>
      <w:r>
        <w:rPr>
          <w:rFonts w:cs="Times New Roman" w:ascii="Arial" w:hAnsi="Arial"/>
          <w:sz w:val="22"/>
          <w:szCs w:val="22"/>
          <w:shd w:fill="FFFFFF" w:val="clear"/>
        </w:rPr>
        <w:t xml:space="preserve">______________________________________________________________________________, </w:t>
      </w:r>
      <w:r>
        <w:rPr>
          <w:rFonts w:cs="Times New Roman" w:ascii="Arial" w:hAnsi="Arial"/>
          <w:sz w:val="22"/>
          <w:szCs w:val="22"/>
          <w:highlight w:val="white"/>
          <w:shd w:fill="FFFFFF" w:val="clear"/>
        </w:rPr>
        <w:t>zwaną dalej „Dostawcą”,</w:t>
      </w:r>
      <w:r>
        <w:rPr>
          <w:rFonts w:cs="Times New Roman" w:ascii="Arial" w:hAnsi="Arial"/>
          <w:b/>
          <w:sz w:val="22"/>
          <w:szCs w:val="22"/>
          <w:highlight w:val="white"/>
          <w:shd w:fill="FFFFFF" w:val="clear"/>
        </w:rPr>
        <w:t xml:space="preserve"> </w:t>
      </w:r>
      <w:r>
        <w:rPr>
          <w:rFonts w:cs="Times New Roman" w:ascii="Arial" w:hAnsi="Arial"/>
          <w:sz w:val="22"/>
          <w:szCs w:val="22"/>
          <w:highlight w:val="white"/>
          <w:shd w:fill="FFFFFF" w:val="clear"/>
        </w:rPr>
        <w:t>w imieniu której działają:</w:t>
      </w:r>
    </w:p>
    <w:p>
      <w:pPr>
        <w:pStyle w:val="Standard"/>
        <w:jc w:val="both"/>
        <w:rPr>
          <w:rFonts w:ascii="Arial" w:hAnsi="Arial"/>
          <w:color w:val="000000"/>
          <w:sz w:val="22"/>
          <w:szCs w:val="22"/>
        </w:rPr>
      </w:pPr>
      <w:r>
        <w:rPr>
          <w:rFonts w:ascii="Arial" w:hAnsi="Arial"/>
          <w:color w:val="000000"/>
          <w:sz w:val="22"/>
          <w:szCs w:val="22"/>
        </w:rPr>
      </w:r>
    </w:p>
    <w:p>
      <w:pPr>
        <w:pStyle w:val="Standard"/>
        <w:jc w:val="both"/>
        <w:rPr>
          <w:rFonts w:ascii="Arial" w:hAnsi="Arial"/>
          <w:color w:val="000000"/>
          <w:sz w:val="22"/>
          <w:szCs w:val="22"/>
        </w:rPr>
      </w:pPr>
      <w:r>
        <w:rPr>
          <w:rFonts w:ascii="Arial" w:hAnsi="Arial"/>
          <w:color w:val="000000"/>
          <w:sz w:val="22"/>
          <w:szCs w:val="22"/>
        </w:rPr>
      </w:r>
    </w:p>
    <w:p>
      <w:pPr>
        <w:pStyle w:val="Standard"/>
        <w:jc w:val="both"/>
        <w:rPr/>
      </w:pPr>
      <w:r>
        <w:rPr>
          <w:rFonts w:ascii="Arial" w:hAnsi="Arial"/>
          <w:color w:val="000000"/>
          <w:sz w:val="22"/>
          <w:szCs w:val="22"/>
        </w:rPr>
        <w:t xml:space="preserve">Umowę zawarto w trybie przetargu nieograniczonego zgodnie  z  ustawą z dnia 29 stycznia 2004 roku Prawo zamówień publicznych (t.j. Dz. U. z 2017r.  poz. 1579 z późniejszymi zmianami) numer sprawy: </w:t>
      </w:r>
      <w:r>
        <w:rPr>
          <w:rFonts w:ascii="Arial" w:hAnsi="Arial"/>
          <w:color w:val="000000"/>
          <w:sz w:val="22"/>
          <w:szCs w:val="22"/>
        </w:rPr>
        <w:t>15</w:t>
      </w:r>
      <w:r>
        <w:rPr>
          <w:rFonts w:ascii="Arial" w:hAnsi="Arial"/>
          <w:color w:val="000000"/>
          <w:sz w:val="22"/>
          <w:szCs w:val="22"/>
        </w:rPr>
        <w:t>/ZP/201</w:t>
      </w:r>
      <w:r>
        <w:rPr>
          <w:rFonts w:ascii="Arial" w:hAnsi="Arial"/>
          <w:color w:val="000000"/>
          <w:sz w:val="22"/>
          <w:szCs w:val="22"/>
        </w:rPr>
        <w:t>5</w:t>
      </w:r>
      <w:r>
        <w:rPr>
          <w:rFonts w:ascii="Arial" w:hAnsi="Arial"/>
          <w:color w:val="000000"/>
          <w:sz w:val="22"/>
          <w:szCs w:val="22"/>
        </w:rPr>
        <w:t>.</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center"/>
        <w:rPr>
          <w:rFonts w:ascii="Arial" w:hAnsi="Arial"/>
        </w:rPr>
      </w:pPr>
      <w:r>
        <w:rPr>
          <w:rFonts w:ascii="Arial" w:hAnsi="Arial"/>
          <w:b/>
          <w:color w:val="000000"/>
          <w:sz w:val="22"/>
          <w:szCs w:val="22"/>
        </w:rPr>
        <w:t>§ 1.</w:t>
      </w:r>
    </w:p>
    <w:p>
      <w:pPr>
        <w:pStyle w:val="Standard"/>
        <w:numPr>
          <w:ilvl w:val="0"/>
          <w:numId w:val="1"/>
        </w:numPr>
        <w:spacing w:before="0" w:after="120"/>
        <w:jc w:val="both"/>
        <w:rPr/>
      </w:pPr>
      <w:r>
        <w:rPr>
          <w:rFonts w:ascii="Arial" w:hAnsi="Arial"/>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__________________, które stanowią integralną część niniejszej umowy, według jednostkowych zamówień, składanych przez upoważnionego pracownika Odbiorcy.</w:t>
      </w:r>
    </w:p>
    <w:p>
      <w:pPr>
        <w:pStyle w:val="Standard"/>
        <w:numPr>
          <w:ilvl w:val="0"/>
          <w:numId w:val="1"/>
        </w:numPr>
        <w:spacing w:before="0" w:after="120"/>
        <w:jc w:val="both"/>
        <w:rPr>
          <w:rFonts w:ascii="Arial" w:hAnsi="Arial"/>
        </w:rPr>
      </w:pPr>
      <w:r>
        <w:rPr>
          <w:rFonts w:ascii="Arial" w:hAnsi="Arial"/>
          <w:color w:val="000000"/>
          <w:sz w:val="22"/>
          <w:szCs w:val="22"/>
        </w:rPr>
        <w:t>Wartość brutto pakietu __</w:t>
      </w:r>
      <w:r>
        <w:rPr>
          <w:rFonts w:ascii="Arial" w:hAnsi="Arial"/>
          <w:color w:val="000000"/>
          <w:sz w:val="22"/>
          <w:szCs w:val="22"/>
          <w:shd w:fill="FFFFFF" w:val="clear"/>
        </w:rPr>
        <w:t xml:space="preserve"> wynosi do __________ zł (słownie: __________________złotych</w:t>
      </w:r>
      <w:r>
        <w:rPr>
          <w:rFonts w:ascii="Arial" w:hAnsi="Arial"/>
          <w:color w:val="000000"/>
          <w:sz w:val="22"/>
          <w:szCs w:val="22"/>
        </w:rPr>
        <w:t>), wartość brutto pakietu __</w:t>
      </w:r>
      <w:r>
        <w:rPr>
          <w:rFonts w:ascii="Arial" w:hAnsi="Arial"/>
          <w:color w:val="000000"/>
          <w:sz w:val="22"/>
          <w:szCs w:val="22"/>
          <w:shd w:fill="FFFFFF" w:val="clear"/>
        </w:rPr>
        <w:t xml:space="preserve"> wynosi do __________ zł (słownie: __________________złotych</w:t>
      </w:r>
      <w:r>
        <w:rPr>
          <w:rFonts w:ascii="Arial" w:hAnsi="Arial"/>
          <w:color w:val="000000"/>
          <w:sz w:val="22"/>
          <w:szCs w:val="22"/>
        </w:rPr>
        <w:t xml:space="preserve">). Wartość brutto </w:t>
      </w:r>
      <w:r>
        <w:rPr>
          <w:rFonts w:ascii="Arial" w:hAnsi="Arial"/>
          <w:b/>
          <w:bCs/>
          <w:color w:val="000000"/>
          <w:sz w:val="22"/>
          <w:szCs w:val="22"/>
        </w:rPr>
        <w:t>przedmiotu umowy</w:t>
      </w:r>
      <w:r>
        <w:rPr>
          <w:rFonts w:ascii="Arial" w:hAnsi="Arial"/>
          <w:color w:val="000000"/>
          <w:sz w:val="22"/>
          <w:szCs w:val="22"/>
        </w:rPr>
        <w:t xml:space="preserve"> wynosi do ______________ zł (słownie: ____________________), płatne zgodnie z § 3 umowy, po dostarczeniu przedmiotu odpowiedniego zamówienia potwierdzonego przez magazyn apteki szpitalnej Odbiorcy.</w:t>
      </w:r>
    </w:p>
    <w:p>
      <w:pPr>
        <w:pStyle w:val="Standard"/>
        <w:numPr>
          <w:ilvl w:val="0"/>
          <w:numId w:val="1"/>
        </w:numPr>
        <w:spacing w:before="0" w:after="120"/>
        <w:jc w:val="both"/>
        <w:rPr>
          <w:rFonts w:ascii="Arial" w:hAnsi="Arial"/>
        </w:rPr>
      </w:pPr>
      <w:r>
        <w:rPr>
          <w:rFonts w:ascii="Arial" w:hAnsi="Arial"/>
          <w:color w:val="000000"/>
          <w:sz w:val="22"/>
          <w:szCs w:val="22"/>
        </w:rPr>
        <w:t>Odbiorca ma prawo składania zamówień jednostkowych według potrzeb do wartości przedmiotu umowy, o którym mowa w pkt 2 niniejszego paragrafu, bez prawa dochodzenia jakichkolwiek roszczeń Dostawcy w przypadku niezrealizowania powyższej wartości                   w okresie obowiązywania niniejszej umowy i nie dokonania przez Odbiorcę zakupu całości leków określonych w załącznikach do umowy.</w:t>
      </w:r>
    </w:p>
    <w:p>
      <w:pPr>
        <w:pStyle w:val="Standard"/>
        <w:numPr>
          <w:ilvl w:val="0"/>
          <w:numId w:val="1"/>
        </w:numPr>
        <w:spacing w:before="0" w:after="120"/>
        <w:jc w:val="both"/>
        <w:rPr>
          <w:rFonts w:ascii="Arial" w:hAnsi="Arial"/>
        </w:rPr>
      </w:pPr>
      <w:r>
        <w:rPr>
          <w:rFonts w:ascii="Arial" w:hAnsi="Arial"/>
          <w:color w:val="000000"/>
          <w:sz w:val="22"/>
          <w:szCs w:val="22"/>
        </w:rPr>
        <w:t>Podana wartość brutto zawiera obok wartości leku, podatek VAT, koszty transportu i ubezpieczenia transportu leku do Odbiorcy oraz inne koszty Dostawcy związane                       z realizacją niniejszej umowy.</w:t>
      </w:r>
    </w:p>
    <w:p>
      <w:pPr>
        <w:pStyle w:val="Standard"/>
        <w:numPr>
          <w:ilvl w:val="0"/>
          <w:numId w:val="1"/>
        </w:numPr>
        <w:spacing w:before="0" w:after="120"/>
        <w:jc w:val="both"/>
        <w:rPr>
          <w:rFonts w:ascii="Arial" w:hAnsi="Arial"/>
        </w:rPr>
      </w:pPr>
      <w:r>
        <w:rPr>
          <w:rFonts w:ascii="Arial" w:hAnsi="Arial"/>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pPr>
        <w:pStyle w:val="Standard"/>
        <w:numPr>
          <w:ilvl w:val="0"/>
          <w:numId w:val="1"/>
        </w:numPr>
        <w:spacing w:before="0" w:after="120"/>
        <w:jc w:val="both"/>
        <w:rPr>
          <w:rFonts w:ascii="Arial" w:hAnsi="Arial"/>
        </w:rPr>
      </w:pPr>
      <w:r>
        <w:rPr>
          <w:rFonts w:ascii="Arial" w:hAnsi="Arial"/>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rFonts w:ascii="Arial" w:hAnsi="Arial"/>
          <w:color w:val="000000"/>
          <w:sz w:val="22"/>
          <w:szCs w:val="22"/>
          <w:shd w:fill="FFFFFF" w:val="clear"/>
        </w:rPr>
        <w:t xml:space="preserve"> Zmiana cen w przypadku obniżenia cen urzędowych nie ma zastosowania, jeżeli                        w ramach Umowy towar oferowany jest po cenie niższej.</w:t>
      </w:r>
    </w:p>
    <w:p>
      <w:pPr>
        <w:pStyle w:val="Standard"/>
        <w:numPr>
          <w:ilvl w:val="0"/>
          <w:numId w:val="1"/>
        </w:numPr>
        <w:spacing w:before="0" w:after="120"/>
        <w:jc w:val="both"/>
        <w:rPr>
          <w:rFonts w:ascii="Arial" w:hAnsi="Arial"/>
        </w:rPr>
      </w:pPr>
      <w:r>
        <w:rPr>
          <w:rFonts w:ascii="Arial" w:hAnsi="Arial"/>
          <w:color w:val="000000"/>
          <w:sz w:val="22"/>
          <w:szCs w:val="22"/>
          <w:shd w:fill="FFFFFF" w:val="clear"/>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2016 r. poz. 1536 z późniejszymi  zmianami) o nabywaniu przez świadczeniodawców leków, środków spożywczych specjalnego przeznaczenia żywieniowego, wyrobów medycznych.</w:t>
      </w:r>
    </w:p>
    <w:p>
      <w:pPr>
        <w:pStyle w:val="Standard"/>
        <w:jc w:val="center"/>
        <w:rPr>
          <w:rFonts w:ascii="Arial" w:hAnsi="Arial"/>
          <w:b/>
          <w:b/>
          <w:bCs/>
          <w:sz w:val="22"/>
          <w:szCs w:val="22"/>
        </w:rPr>
      </w:pPr>
      <w:r>
        <w:rPr>
          <w:rFonts w:ascii="Arial" w:hAnsi="Arial"/>
          <w:b/>
          <w:bCs/>
          <w:sz w:val="22"/>
          <w:szCs w:val="22"/>
        </w:rPr>
      </w:r>
    </w:p>
    <w:p>
      <w:pPr>
        <w:pStyle w:val="Standard"/>
        <w:jc w:val="center"/>
        <w:rPr>
          <w:rFonts w:ascii="Arial" w:hAnsi="Arial"/>
        </w:rPr>
      </w:pPr>
      <w:r>
        <w:rPr>
          <w:rFonts w:ascii="Arial" w:hAnsi="Arial"/>
          <w:b/>
          <w:bCs/>
          <w:sz w:val="22"/>
          <w:szCs w:val="22"/>
        </w:rPr>
        <w:t>§ 2.</w:t>
      </w:r>
    </w:p>
    <w:p>
      <w:pPr>
        <w:pStyle w:val="Standard"/>
        <w:numPr>
          <w:ilvl w:val="0"/>
          <w:numId w:val="2"/>
        </w:numPr>
        <w:spacing w:before="0" w:after="120"/>
        <w:jc w:val="both"/>
        <w:rPr>
          <w:rFonts w:ascii="Arial" w:hAnsi="Arial"/>
        </w:rPr>
      </w:pPr>
      <w:r>
        <w:rPr>
          <w:rFonts w:ascii="Arial" w:hAnsi="Arial"/>
          <w:color w:val="000000"/>
          <w:sz w:val="22"/>
          <w:szCs w:val="22"/>
        </w:rPr>
        <w:t>Dostawa poszczególnych partii leków, środków spożywczych specjalnego przeznaczenia żywieniowego oraz wyrobów medycznych realizowana będzie przez Dostawcę na podstawie pisemnych zamówień (wysłanych w formie faksu lub za pośrednictwem poczty elektronicznej), składanych przez upoważnionego pracownika/pracowników Odbiorcy.</w:t>
      </w:r>
    </w:p>
    <w:p>
      <w:pPr>
        <w:pStyle w:val="Standard"/>
        <w:numPr>
          <w:ilvl w:val="0"/>
          <w:numId w:val="2"/>
        </w:numPr>
        <w:spacing w:before="0" w:after="120"/>
        <w:jc w:val="both"/>
        <w:rPr>
          <w:rFonts w:ascii="Arial" w:hAnsi="Arial"/>
        </w:rPr>
      </w:pPr>
      <w:r>
        <w:rPr>
          <w:rFonts w:ascii="Arial" w:hAnsi="Arial"/>
          <w:color w:val="000000"/>
          <w:sz w:val="22"/>
          <w:szCs w:val="22"/>
        </w:rPr>
        <w:t>Z ważnych powodów, których nie można było przewidzieć w normalnym toku planowania zamówień, w przypadku konieczności podjęcia natychmiastowego leczenia pacjentów Odbiorcy, zamówienia mogą być składane wyłącznie w formie dokumentu elektronicznego doręczanego środkami komunikacji elektronicznej.</w:t>
      </w:r>
    </w:p>
    <w:p>
      <w:pPr>
        <w:pStyle w:val="Standard"/>
        <w:numPr>
          <w:ilvl w:val="0"/>
          <w:numId w:val="2"/>
        </w:numPr>
        <w:spacing w:before="0" w:after="120"/>
        <w:jc w:val="both"/>
        <w:rPr>
          <w:rFonts w:ascii="Arial" w:hAnsi="Arial"/>
        </w:rPr>
      </w:pPr>
      <w:r>
        <w:rPr>
          <w:rFonts w:ascii="Arial" w:hAnsi="Arial"/>
          <w:color w:val="000000"/>
          <w:sz w:val="22"/>
          <w:szCs w:val="22"/>
        </w:rPr>
        <w:t>Każde zamówienie określać będzie rodzaj zamawianych leków, środków spożywczych specjalnego przeznaczenia żywieniowego oraz wyrobów medycznych (asortyment) oraz ich ilość i ewentualnie termin dostawy.</w:t>
      </w:r>
    </w:p>
    <w:p>
      <w:pPr>
        <w:pStyle w:val="Standard"/>
        <w:numPr>
          <w:ilvl w:val="0"/>
          <w:numId w:val="2"/>
        </w:numPr>
        <w:spacing w:before="0" w:after="120"/>
        <w:jc w:val="both"/>
        <w:rPr>
          <w:color w:val="000000"/>
          <w:sz w:val="22"/>
          <w:szCs w:val="22"/>
        </w:rPr>
      </w:pPr>
      <w:r>
        <w:rPr>
          <w:rFonts w:ascii="Arial" w:hAnsi="Arial"/>
          <w:color w:val="000000"/>
          <w:sz w:val="22"/>
          <w:szCs w:val="22"/>
        </w:rPr>
        <w:t>Dostawca zobowiązuje się dostarczyć przedmiot konkretnego zamówienia wraz z fakturą do siedziby Odbiorcy na własny koszt i ryzyko w  terminie  3 dni roboczych od daty złożenia zamówienia.</w:t>
      </w:r>
    </w:p>
    <w:p>
      <w:pPr>
        <w:pStyle w:val="Standard"/>
        <w:numPr>
          <w:ilvl w:val="0"/>
          <w:numId w:val="2"/>
        </w:numPr>
        <w:spacing w:before="0" w:after="120"/>
        <w:jc w:val="both"/>
        <w:rPr>
          <w:rFonts w:ascii="Arial" w:hAnsi="Arial"/>
        </w:rPr>
      </w:pPr>
      <w:r>
        <w:rPr>
          <w:rFonts w:ascii="Arial" w:hAnsi="Arial"/>
          <w:color w:val="000000"/>
          <w:sz w:val="22"/>
          <w:szCs w:val="22"/>
        </w:rPr>
        <w:t>Każda dostawa powinna być dokonana jednorazowo zgodnie ze złożonym zamówieniem pod względem ilościowym i asortymentowym sprawdzona na podstawie dokumentów dostawy i potwierdzona przez  pracownika Odbiorcy.</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Jeśli objęty zamówieniem lek, środek spożywczy specjalnego przeznaczenia żywieniowego lub inny wyrób medyczny  nie może być dostarczony przez Dostawcę w  terminie, wówczas Odbiorca będzie uprawniony do dokonania zakupu tego leku lub środków u innego wybranego dowolnie przez Odbiorcę sprzedawcy, który zapewni terminowe dostarczenie danego preparatu, na koszt i ryzyko Dostawcy. Koszt, jaki w związku z takim zakupem poniesie Dostawca to pokrycie różnicy ceny zakupu u innego sprzedającego w stosunku do ceny ustalonej w ramach niniejszej umowy jak również pokrycie wszelkich ewentualnie powstałych kosztów związanych z zakupem zastępczym, interwencyjnym.</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W przypadku nierozliczenia przez Dostawcę kosztu zakupu interwencyjnego o którym mowa powyżej, Odbiorca będzie miał prawo odstąpienia od niniejszej umowy w terminie 30 dni od daty wymagalności roszczenia o zwrot kosztu zakupu interwencyjnego.</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Z</w:t>
      </w:r>
      <w:r>
        <w:rPr>
          <w:rFonts w:ascii="Arial" w:hAnsi="Arial"/>
          <w:color w:val="000000"/>
          <w:sz w:val="22"/>
          <w:szCs w:val="22"/>
        </w:rPr>
        <w:t xml:space="preserve">amówiona część przedmiotu umowy ma być odpowiednio opakowana w sposób zabezpieczający go przed uszkodzeniem i wzajemnym oddziaływaniem na siebie leków                  i innych wyrobów medycznych. </w:t>
      </w:r>
      <w:bookmarkStart w:id="0" w:name="__DdeLink__102_1992464151"/>
      <w:bookmarkEnd w:id="0"/>
      <w:r>
        <w:rPr>
          <w:rFonts w:ascii="Arial" w:hAnsi="Arial"/>
          <w:color w:val="000000"/>
          <w:sz w:val="22"/>
          <w:szCs w:val="22"/>
        </w:rPr>
        <w:t>Transport i dostawa odbywać się będą zgodnie z treścią Rozporządzenia Ministra Zdrowia w sprawie Dobrej Praktyki Dystrybucyjnej z dnia 13 marca 2015 roku (Dz. U. z 2015 r., poz. 381) lub innych obowiązujących w tym zakresie przepisów prawa.</w:t>
      </w:r>
    </w:p>
    <w:p>
      <w:pPr>
        <w:pStyle w:val="Standard"/>
        <w:numPr>
          <w:ilvl w:val="0"/>
          <w:numId w:val="2"/>
        </w:numPr>
        <w:spacing w:before="0" w:after="120"/>
        <w:jc w:val="both"/>
        <w:rPr/>
      </w:pPr>
      <w:r>
        <w:rPr>
          <w:rFonts w:ascii="Arial" w:hAnsi="Arial"/>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wykorzystania. Dostawa każdorazowo odbywać się będzie wyłącznie do magazynu apteki szpitalnej Odbiorcy w dni robocze w godzinach od 7:30 do 15:00. W wyjątkowych przypadkach, w razie dostaw zamówienia awaryjnego,                 o którym mowa w pkt 2 tego paragrafu, wydanie przedmiotu zamówienia może nastąpić także w inny, uzgodniony z przedstawicielem Odbiorcy sposób.</w:t>
      </w:r>
    </w:p>
    <w:p>
      <w:pPr>
        <w:pStyle w:val="Standard"/>
        <w:numPr>
          <w:ilvl w:val="0"/>
          <w:numId w:val="2"/>
        </w:numPr>
        <w:spacing w:before="0" w:after="120"/>
        <w:jc w:val="both"/>
        <w:rPr>
          <w:rFonts w:ascii="Arial" w:hAnsi="Arial"/>
        </w:rPr>
      </w:pPr>
      <w:r>
        <w:rPr>
          <w:rFonts w:ascii="Arial" w:hAnsi="Arial"/>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pPr>
        <w:pStyle w:val="Standard"/>
        <w:numPr>
          <w:ilvl w:val="0"/>
          <w:numId w:val="2"/>
        </w:numPr>
        <w:spacing w:before="0" w:after="120"/>
        <w:jc w:val="both"/>
        <w:rPr>
          <w:rFonts w:ascii="Arial" w:hAnsi="Arial"/>
        </w:rPr>
      </w:pPr>
      <w:r>
        <w:rPr>
          <w:rFonts w:ascii="Arial" w:hAnsi="Arial"/>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2"/>
        </w:numPr>
        <w:spacing w:before="0" w:after="120"/>
        <w:jc w:val="both"/>
        <w:rPr>
          <w:rFonts w:ascii="Arial" w:hAnsi="Arial"/>
        </w:rPr>
      </w:pPr>
      <w:r>
        <w:rPr>
          <w:rFonts w:ascii="Arial" w:hAnsi="Arial"/>
          <w:color w:val="000000"/>
          <w:sz w:val="22"/>
          <w:szCs w:val="22"/>
        </w:rPr>
        <w:t>Potwierdzeniem pisemnym zrealizowania poszczególnych zamówień jest dowód przyjęcia przez uprawnionego przedstawiciela Odbiorcy, pracownika apteki szpitalnej towaru obejmujący podpisaną fakturę VAT lub dokument magazynowy WZ lub inny dokument np. list przewozowy.</w:t>
      </w:r>
    </w:p>
    <w:p>
      <w:pPr>
        <w:pStyle w:val="Standard"/>
        <w:numPr>
          <w:ilvl w:val="0"/>
          <w:numId w:val="2"/>
        </w:numPr>
        <w:spacing w:before="0" w:after="120"/>
        <w:jc w:val="both"/>
        <w:rPr>
          <w:rFonts w:ascii="Arial" w:hAnsi="Arial"/>
        </w:rPr>
      </w:pPr>
      <w:r>
        <w:rPr>
          <w:rFonts w:ascii="Arial" w:hAnsi="Arial"/>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pPr>
        <w:pStyle w:val="Standard"/>
        <w:numPr>
          <w:ilvl w:val="0"/>
          <w:numId w:val="2"/>
        </w:numPr>
        <w:spacing w:before="0" w:after="120"/>
        <w:jc w:val="both"/>
        <w:rPr>
          <w:rFonts w:ascii="Arial" w:hAnsi="Arial"/>
        </w:rPr>
      </w:pPr>
      <w:r>
        <w:rPr>
          <w:rFonts w:ascii="Arial" w:hAnsi="Arial"/>
          <w:color w:val="000000"/>
          <w:sz w:val="22"/>
          <w:szCs w:val="22"/>
          <w:shd w:fill="FFFFFF" w:val="clear"/>
        </w:rPr>
        <w:t xml:space="preserve">Strony postanawiają, że ceny i nazwy poszczególnych produktów na stosownej fakturze VAT dokumentującej dokonanie poszczególnego zamówienia powinny odpowiadać cenom i nazwom produktów ujętym w określonych w paragrafie 1 pkt 1 niniejszej umowy załącznikach  z zastrzeżeniem postanowienia § 1 ust. 6. Ceny na fakturze będą rozbite na poszczególne pozycje dostawy z wyszczególnionym podatkiem </w:t>
      </w:r>
      <w:r>
        <w:rPr>
          <w:rFonts w:ascii="Arial" w:hAnsi="Arial"/>
          <w:color w:val="000000"/>
          <w:sz w:val="22"/>
          <w:szCs w:val="22"/>
        </w:rPr>
        <w:t>VAT.</w:t>
      </w:r>
    </w:p>
    <w:p>
      <w:pPr>
        <w:pStyle w:val="Standard"/>
        <w:numPr>
          <w:ilvl w:val="0"/>
          <w:numId w:val="2"/>
        </w:numPr>
        <w:spacing w:before="0" w:after="120"/>
        <w:jc w:val="both"/>
        <w:rPr/>
      </w:pPr>
      <w:r>
        <w:rPr>
          <w:rFonts w:ascii="Arial" w:hAnsi="Arial"/>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pPr>
        <w:pStyle w:val="Standard"/>
        <w:numPr>
          <w:ilvl w:val="0"/>
          <w:numId w:val="2"/>
        </w:numPr>
        <w:spacing w:before="0" w:after="120"/>
        <w:jc w:val="both"/>
        <w:rPr>
          <w:rFonts w:ascii="Arial" w:hAnsi="Arial"/>
        </w:rPr>
      </w:pPr>
      <w:r>
        <w:rPr>
          <w:rFonts w:ascii="Arial" w:hAnsi="Arial"/>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pPr>
        <w:pStyle w:val="Standard"/>
        <w:numPr>
          <w:ilvl w:val="0"/>
          <w:numId w:val="2"/>
        </w:numPr>
        <w:spacing w:before="0" w:after="120"/>
        <w:jc w:val="both"/>
        <w:rPr/>
      </w:pPr>
      <w:r>
        <w:rPr>
          <w:rFonts w:eastAsia="Garamond" w:cs="Garamond" w:ascii="Arial" w:hAnsi="Arial"/>
          <w:color w:val="000000"/>
          <w:sz w:val="22"/>
          <w:szCs w:val="22"/>
          <w:shd w:fill="FFFFFF" w:val="clear"/>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dostarczenia leku lub innego produktu wchodzącego         w zakres niniejszej umowy z powyższej przyczyny. W takim przypadku Dostawca zaproponuje Odbiorcy odpowiedni lek lub inny produkt zamienny o tym samym składzie chemicznym, dochowując starania, aby jego cena nie odbiegała od ceny produktu lub leku, którego sprzedaż z powodów niezależnych od Dostawcy stała się niemożliwa. Jeżeli cena netto za jaką Dostawca może pozyskać zamiennik jest wyższa od ceny określonej             w umowie o więcej niż 10 %, wówczas Dostawca zaproponuje Odbiorcy odpowiedni lek lub inny produkt zamienny wskazując jego cenę zakupu przez Dostawcę od producenta lub innego podmiotu. W takim wypadku Odbiorca zdecyduje, czy nabędzie odpowiedni lek lub inny produkt zamienny u Dostawcy, czy pozyska go z innych dostępnych źródeł.                         W przypadku wystąpienia okoliczności, o których mowa powyżej Odbiorca dopuszcza możliwość dokonania odpowiedniej zmiany treści niniejszej umowy.</w:t>
      </w:r>
    </w:p>
    <w:p>
      <w:pPr>
        <w:pStyle w:val="Standard"/>
        <w:numPr>
          <w:ilvl w:val="0"/>
          <w:numId w:val="2"/>
        </w:numPr>
        <w:spacing w:before="0" w:after="120"/>
        <w:jc w:val="both"/>
        <w:rPr/>
      </w:pPr>
      <w:r>
        <w:rPr>
          <w:rFonts w:ascii="Arial" w:hAnsi="Arial"/>
          <w:color w:val="000000"/>
          <w:sz w:val="22"/>
          <w:szCs w:val="22"/>
          <w:shd w:fill="FFFFFF" w:val="clear"/>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pPr>
        <w:pStyle w:val="Standard"/>
        <w:numPr>
          <w:ilvl w:val="0"/>
          <w:numId w:val="2"/>
        </w:numPr>
        <w:spacing w:before="0" w:after="120"/>
        <w:jc w:val="both"/>
        <w:rPr>
          <w:rFonts w:ascii="Arial" w:hAnsi="Arial"/>
        </w:rPr>
      </w:pPr>
      <w:r>
        <w:rPr>
          <w:rFonts w:ascii="Arial" w:hAnsi="Arial"/>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2"/>
        </w:numPr>
        <w:spacing w:before="0" w:after="120"/>
        <w:jc w:val="both"/>
        <w:rPr>
          <w:rFonts w:ascii="Arial" w:hAnsi="Arial"/>
        </w:rPr>
      </w:pPr>
      <w:r>
        <w:rPr>
          <w:rFonts w:ascii="Arial" w:hAnsi="Arial"/>
          <w:color w:val="000000"/>
          <w:sz w:val="22"/>
          <w:szCs w:val="22"/>
        </w:rPr>
        <w:t>Z zastrzeżeniem treści pkt.16 niniejszego paragrafu Dostawca gwarantuje i zobowiązuje się do zapewnienia ciągłości dostawy poszczególnych leków lub produktów leczniczych                   w okresie trwania niniejszej umowy.</w:t>
      </w:r>
    </w:p>
    <w:p>
      <w:pPr>
        <w:pStyle w:val="Standard"/>
        <w:jc w:val="center"/>
        <w:rPr>
          <w:rFonts w:ascii="Arial" w:hAnsi="Arial"/>
        </w:rPr>
      </w:pPr>
      <w:r>
        <w:rPr>
          <w:rFonts w:ascii="Arial" w:hAnsi="Arial"/>
          <w:b/>
          <w:color w:val="000000"/>
          <w:sz w:val="22"/>
          <w:szCs w:val="22"/>
        </w:rPr>
        <w:t>§ 3</w:t>
      </w:r>
    </w:p>
    <w:p>
      <w:pPr>
        <w:pStyle w:val="Standard"/>
        <w:numPr>
          <w:ilvl w:val="0"/>
          <w:numId w:val="3"/>
        </w:numPr>
        <w:spacing w:before="0" w:after="120"/>
        <w:jc w:val="both"/>
        <w:rPr>
          <w:rFonts w:ascii="Arial" w:hAnsi="Arial"/>
        </w:rPr>
      </w:pPr>
      <w:r>
        <w:rPr>
          <w:rFonts w:ascii="Arial" w:hAnsi="Arial"/>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pPr>
        <w:pStyle w:val="Standard"/>
        <w:numPr>
          <w:ilvl w:val="0"/>
          <w:numId w:val="3"/>
        </w:numPr>
        <w:spacing w:before="0" w:after="120"/>
        <w:jc w:val="both"/>
        <w:rPr/>
      </w:pPr>
      <w:r>
        <w:rPr>
          <w:rFonts w:ascii="Arial" w:hAnsi="Arial"/>
          <w:color w:val="000000"/>
          <w:sz w:val="22"/>
          <w:szCs w:val="22"/>
        </w:rPr>
        <w:t>Zapłata ceny dokonana zostanie w terminie 30 dni od daty</w:t>
      </w:r>
      <w:r>
        <w:rPr>
          <w:rFonts w:ascii="Arial" w:hAnsi="Arial"/>
          <w:color w:val="000000"/>
          <w:sz w:val="22"/>
          <w:szCs w:val="22"/>
          <w:shd w:fill="FFFFFF" w:val="clear"/>
        </w:rPr>
        <w:t xml:space="preserve"> wystawienia </w:t>
      </w:r>
      <w:r>
        <w:rPr>
          <w:rFonts w:ascii="Arial" w:hAnsi="Arial"/>
          <w:color w:val="000000"/>
          <w:sz w:val="22"/>
          <w:szCs w:val="22"/>
        </w:rPr>
        <w:t>odpowiedniej faktury VAT po sprawdzeniu, czy dane zamówienie zostało zrealizowane w sposób zgodny z Umową.</w:t>
      </w:r>
      <w:r>
        <w:rPr>
          <w:rFonts w:eastAsia="ヒラギノ角ゴ Pro W3" w:ascii="Arial" w:hAnsi="Arial"/>
          <w:color w:val="000000"/>
          <w:sz w:val="22"/>
          <w:szCs w:val="22"/>
        </w:rPr>
        <w:t xml:space="preserve">  </w:t>
      </w:r>
    </w:p>
    <w:p>
      <w:pPr>
        <w:pStyle w:val="Standard"/>
        <w:jc w:val="center"/>
        <w:rPr>
          <w:rFonts w:ascii="Arial" w:hAnsi="Arial"/>
        </w:rPr>
      </w:pPr>
      <w:r>
        <w:rPr>
          <w:rFonts w:ascii="Arial" w:hAnsi="Arial"/>
          <w:b/>
          <w:color w:val="000000"/>
          <w:sz w:val="22"/>
          <w:szCs w:val="22"/>
        </w:rPr>
        <w:t>§ 4</w:t>
      </w:r>
    </w:p>
    <w:p>
      <w:pPr>
        <w:pStyle w:val="Standard"/>
        <w:numPr>
          <w:ilvl w:val="0"/>
          <w:numId w:val="4"/>
        </w:numPr>
        <w:spacing w:before="0" w:after="120"/>
        <w:jc w:val="both"/>
        <w:rPr>
          <w:rFonts w:ascii="Arial" w:hAnsi="Arial"/>
        </w:rPr>
      </w:pPr>
      <w:r>
        <w:rPr>
          <w:rFonts w:ascii="Arial" w:hAnsi="Arial"/>
          <w:color w:val="000000"/>
          <w:sz w:val="22"/>
          <w:szCs w:val="22"/>
        </w:rPr>
        <w:t>Dostawca gwarantuje i zapewnia, że objęte przedmiotem umowy leki, środki spożywcze specjalnego przeznaczenia żywieniowego oraz wyroby medyczne będą nowe, wolne od wad i o terminie ważności nie krótszym niż 12 miesięcy, chyba ze Odbiorca zgodzi się na dostawę leku o innym terminie ważności, lub inny krótszy termin ważności wynika ze specyfiki i właściwości danego preparatu.</w:t>
      </w:r>
    </w:p>
    <w:p>
      <w:pPr>
        <w:pStyle w:val="Standard"/>
        <w:numPr>
          <w:ilvl w:val="0"/>
          <w:numId w:val="4"/>
        </w:numPr>
        <w:spacing w:before="0" w:after="120"/>
        <w:jc w:val="both"/>
        <w:rPr>
          <w:rFonts w:ascii="Arial" w:hAnsi="Arial"/>
        </w:rPr>
      </w:pPr>
      <w:r>
        <w:rPr>
          <w:rFonts w:ascii="Arial" w:hAnsi="Arial"/>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Standard"/>
        <w:numPr>
          <w:ilvl w:val="0"/>
          <w:numId w:val="4"/>
        </w:numPr>
        <w:spacing w:before="0" w:after="120"/>
        <w:jc w:val="both"/>
        <w:rPr>
          <w:rFonts w:ascii="Arial" w:hAnsi="Arial"/>
        </w:rPr>
      </w:pPr>
      <w:r>
        <w:rPr>
          <w:rFonts w:ascii="Arial" w:hAnsi="Arial"/>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pPr>
        <w:pStyle w:val="Standard"/>
        <w:numPr>
          <w:ilvl w:val="0"/>
          <w:numId w:val="4"/>
        </w:numPr>
        <w:spacing w:before="0" w:after="120"/>
        <w:jc w:val="both"/>
        <w:rPr>
          <w:rFonts w:ascii="Arial" w:hAnsi="Arial"/>
        </w:rPr>
      </w:pPr>
      <w:r>
        <w:rPr>
          <w:rFonts w:ascii="Arial" w:hAnsi="Arial"/>
          <w:color w:val="000000"/>
          <w:sz w:val="22"/>
          <w:szCs w:val="22"/>
        </w:rPr>
        <w:t>Dostawca zobowiązuje się w ciągu 7 dni roboczych dokonać wymiany przedmiotu umowy lub jego poszczególnych części dotkniętych wadą na pełnowartościowy pod rygorem nie uiszczenia zapłaty przez Odbiorcę należnej za wadliwe produkty ceny, aż do czasu dostarczenia przez Odbiorcę produktów pełnowartościowych.</w:t>
      </w:r>
    </w:p>
    <w:p>
      <w:pPr>
        <w:pStyle w:val="Standard"/>
        <w:numPr>
          <w:ilvl w:val="0"/>
          <w:numId w:val="4"/>
        </w:numPr>
        <w:spacing w:before="0" w:after="120"/>
        <w:jc w:val="both"/>
        <w:rPr>
          <w:rFonts w:ascii="Arial" w:hAnsi="Arial"/>
        </w:rPr>
      </w:pPr>
      <w:r>
        <w:rPr>
          <w:rFonts w:ascii="Arial" w:hAnsi="Arial"/>
          <w:color w:val="000000"/>
          <w:sz w:val="22"/>
          <w:szCs w:val="22"/>
        </w:rPr>
        <w:t>Niezależnie od uprawnień Odbiorcy opisanych w pkt 4 powyżej, w przypadku niedostarczenia przedmiotu umowy lub jego poszczególnej partii wolnego od wad                      w terminie 14 dni od daty złożenia przez Odbiorcę stosownego oświadczenia                              w przedmiocie wymiany przedmiotu umowy, Odbiorca w okresie obowiązywania Umowy może od niej odstąpić bez dochowania jakichkolwiek dodatkowych warunków. Podobnie Odbiorca może odstąpić od umowy w przypadku niewykonywania jej przez Dostawcę lub nienależytego jej wykonywania. W tym przypadku odstąpienie może nastąpić po wcześniejszym bezskutecznym wezwaniu Dostawcy do zaprzestania zachowania lub zaniechania niezgodnego z treścią niniejszej umowy. Oświadczenie o odstąpieniu może być złożone w czasie obowiązywania umowy.</w:t>
      </w:r>
    </w:p>
    <w:p>
      <w:pPr>
        <w:pStyle w:val="Standard"/>
        <w:numPr>
          <w:ilvl w:val="0"/>
          <w:numId w:val="4"/>
        </w:numPr>
        <w:spacing w:before="0" w:after="120"/>
        <w:jc w:val="both"/>
        <w:rPr>
          <w:color w:val="000000"/>
          <w:sz w:val="22"/>
          <w:szCs w:val="22"/>
        </w:rPr>
      </w:pPr>
      <w:r>
        <w:rPr>
          <w:rFonts w:ascii="Arial" w:hAnsi="Arial"/>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pPr>
        <w:pStyle w:val="Standard"/>
        <w:numPr>
          <w:ilvl w:val="0"/>
          <w:numId w:val="4"/>
        </w:numPr>
        <w:spacing w:before="0" w:after="120"/>
        <w:jc w:val="both"/>
        <w:rPr>
          <w:rFonts w:ascii="Arial" w:hAnsi="Arial"/>
        </w:rPr>
      </w:pPr>
      <w:r>
        <w:rPr>
          <w:rFonts w:ascii="Arial" w:hAnsi="Arial"/>
          <w:color w:val="000000"/>
          <w:sz w:val="22"/>
          <w:szCs w:val="22"/>
        </w:rPr>
        <w:t>Dostawca przez cały okres obowiązywania Umowy zobowiązuje się posiadać aktualną polisę ubezpieczeniową potwierdzającą, że Dostawca jest ubezpieczony od odpowiedzialności cywilnej do kwoty co najmniej 250.000,00 EURO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 3 dni od otrzymania żądania.</w:t>
      </w:r>
    </w:p>
    <w:p>
      <w:pPr>
        <w:pStyle w:val="Standard"/>
        <w:numPr>
          <w:ilvl w:val="0"/>
          <w:numId w:val="4"/>
        </w:numPr>
        <w:spacing w:before="0" w:after="120"/>
        <w:jc w:val="both"/>
        <w:rPr>
          <w:color w:val="000000"/>
          <w:sz w:val="22"/>
          <w:szCs w:val="22"/>
        </w:rPr>
      </w:pPr>
      <w:r>
        <w:rPr>
          <w:rFonts w:ascii="Arial" w:hAnsi="Arial"/>
          <w:color w:val="000000"/>
          <w:sz w:val="22"/>
          <w:szCs w:val="22"/>
        </w:rPr>
        <w:t>Dostawca odpowiada wobec Odbiorcy za wszelkie działania i zaniechania swoich współpracowników oraz podwykonawców, jak za swoje własne.</w:t>
      </w:r>
    </w:p>
    <w:p>
      <w:pPr>
        <w:pStyle w:val="Standard"/>
        <w:numPr>
          <w:ilvl w:val="0"/>
          <w:numId w:val="4"/>
        </w:numPr>
        <w:spacing w:before="0" w:after="120"/>
        <w:jc w:val="both"/>
        <w:rPr/>
      </w:pPr>
      <w:r>
        <w:rPr>
          <w:rFonts w:ascii="Arial" w:hAnsi="Arial"/>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pPr>
        <w:pStyle w:val="Standard"/>
        <w:numPr>
          <w:ilvl w:val="0"/>
          <w:numId w:val="4"/>
        </w:numPr>
        <w:spacing w:before="0" w:after="120"/>
        <w:jc w:val="both"/>
        <w:rPr>
          <w:rFonts w:ascii="Arial" w:hAnsi="Arial"/>
        </w:rPr>
      </w:pPr>
      <w:r>
        <w:rPr>
          <w:rFonts w:ascii="Arial" w:hAnsi="Arial"/>
          <w:color w:val="000000"/>
          <w:sz w:val="22"/>
          <w:szCs w:val="22"/>
        </w:rPr>
        <w:t>Dostawca ponosi pełną odpowiedzialność prawną za niezgodność produktów leczniczych (w tym ich oznakowań, etykiet, opakowań, etc.) z obowiązującymi normami, wymaganiami    i przepisami prawa oraz za uchybienia związane z wprowadzeniem produktów leczniczych do obrotu stwierdzone przez publiczne organy kontroli. W przypadku jakiejkolwiek kontroli produktów Dostawcy, dokonywanej przez publiczny organ kontroli, Dostawca jest zobowiązany, niezwłocznie po otrzymaniu pisemnego lub e-mailowego wezwania, dostarczyć niezbędne informacje i dokumenty, brać czynny udziału      w wyżej wymienionej kontroli aż do jej zakończenia a także współpracować z Odbiorcą przy wykonaniu wszelkich decyzji czy zaleceń organu kontrolującego jeżeli dotyczą one produktów sprzedanych przez Dostawcę, pod rygorem prawa Odbiorcy do zwrotu zakupionych i zakwestionowanych przez organ publiczny produktów, których dotyczą uchybienia, na koszt i ryzyko Dostawcy. Dostawca jest również zobowiązany do naprawy w całości szkody poniesionej przez Odbiorcę w związku z uchybieniami stwierdzonymi przez organ kontrolujący.</w:t>
      </w:r>
    </w:p>
    <w:p>
      <w:pPr>
        <w:pStyle w:val="Standard"/>
        <w:numPr>
          <w:ilvl w:val="0"/>
          <w:numId w:val="4"/>
        </w:numPr>
        <w:spacing w:before="0" w:after="120"/>
        <w:jc w:val="both"/>
        <w:rPr/>
      </w:pPr>
      <w:r>
        <w:rPr>
          <w:rFonts w:ascii="Arial" w:hAnsi="Arial"/>
          <w:color w:val="000000"/>
          <w:sz w:val="22"/>
          <w:szCs w:val="22"/>
        </w:rPr>
        <w:t>Jeśli Dostawca wejdzie w posiadanie informacji, że któryś z jego produktów dostarczanych lub dostarczonych do Odbiorcy nie spełnia wymogów określonych przez obowiązujące przepisy prawa, wymagania lub normy, ewentualnie istnieje uzasadnione podejrzenie takiego faktu, Dostawca jest zobowiązany do niezwłocznego poinformowania o tym Odbiorcę oraz natychmiastowego podjęcia wszelkich możliwych działań w celu zapewnienia bezpieczeństwa pacjentów Odbiorcy, nie później niż w ciągu 2 dni od powzięcia informacji lub podejrzenia. Jeśli Dostawca, we wskazanym terminie, nie ujawni Odbiorcy okoliczności lub nie podejmie wszelkich możliwych starań, o których mowa wyżej, Odbiorca ma prawo podjąć wszelkie działania, jakie uzna za stosowne w celu zapewnienia bezpieczeństwa pacjentów Odbiorcy, bez jakichkolwiek negatywnych konsekwencji dla Odbiorcy z tego tytułu, w szczególności bez prawa Dostawcy do dochodzenia od Odbiorcy jakichkolwiek roszczeń w związku z podjętymi działaniami. Dodatkowo Odbiorca ma prawo natychmiastowego anulowania zamówień dotyczących takich produktów lub zwrotu takich produktów na koszt i ryzyko Dostawcy.</w:t>
      </w:r>
    </w:p>
    <w:p>
      <w:pPr>
        <w:pStyle w:val="Standard"/>
        <w:numPr>
          <w:ilvl w:val="0"/>
          <w:numId w:val="4"/>
        </w:numPr>
        <w:spacing w:before="0" w:after="120"/>
        <w:jc w:val="both"/>
        <w:rPr>
          <w:color w:val="000000"/>
          <w:sz w:val="22"/>
          <w:szCs w:val="22"/>
        </w:rPr>
      </w:pPr>
      <w:r>
        <w:rPr>
          <w:rFonts w:ascii="Arial" w:hAnsi="Arial"/>
          <w:color w:val="000000"/>
          <w:sz w:val="22"/>
          <w:szCs w:val="22"/>
        </w:rPr>
        <w:t>Jeśli osoba trzecia wystąpi wobec Odbiorcy z roszczeniami związanymi                                       z niebezpieczeństwem produktu, a Odbiorca powiadomi Dostawcę o takim fakcie w formie pisemnej lub e-mailowej, Dostawca będzie zobowiązany do:</w:t>
      </w:r>
    </w:p>
    <w:p>
      <w:pPr>
        <w:pStyle w:val="Standard"/>
        <w:numPr>
          <w:ilvl w:val="0"/>
          <w:numId w:val="8"/>
        </w:numPr>
        <w:spacing w:before="0" w:after="120"/>
        <w:jc w:val="both"/>
        <w:rPr>
          <w:color w:val="000000"/>
          <w:sz w:val="22"/>
          <w:szCs w:val="22"/>
        </w:rPr>
      </w:pPr>
      <w:r>
        <w:rPr>
          <w:rFonts w:ascii="Arial" w:hAnsi="Arial"/>
          <w:color w:val="000000"/>
          <w:sz w:val="22"/>
          <w:szCs w:val="22"/>
        </w:rPr>
        <w:t>natychmiastowego przystąpienia i aktywnego uczestnictwa w toczących się rozmowach, postępowaniach (mediacyjnych, ugodowych, sądowych), etc. oraz zwolnienia Odbiorcy – o ile będzie to dopuszczalne w świetle przepisów prawa powszechnie obowiązującego – z obowiązku dalszego uczestnictwa w wymienionych rozmowach, lub postępowaniach;</w:t>
      </w:r>
    </w:p>
    <w:p>
      <w:pPr>
        <w:pStyle w:val="Standard"/>
        <w:numPr>
          <w:ilvl w:val="0"/>
          <w:numId w:val="8"/>
        </w:numPr>
        <w:spacing w:before="0" w:after="120"/>
        <w:jc w:val="both"/>
        <w:rPr>
          <w:color w:val="000000"/>
          <w:sz w:val="22"/>
          <w:szCs w:val="22"/>
        </w:rPr>
      </w:pPr>
      <w:r>
        <w:rPr>
          <w:rFonts w:ascii="Arial" w:hAnsi="Arial"/>
          <w:color w:val="000000"/>
          <w:sz w:val="22"/>
          <w:szCs w:val="22"/>
        </w:rPr>
        <w:t>ponoszenia solidarnie z Odbiorcą odpowiedzialności wobec osób trzecich, przy czym Dostawca jest zobowiązany do zwolnienia Odbiorcy z wszelkiej odpowiedzialności, całkowitego zaspokojenia roszczeń osób trzecich oraz niedochodzenia od Odbiorcy jakichkolwiek roszczeń regresowych;</w:t>
      </w:r>
    </w:p>
    <w:p>
      <w:pPr>
        <w:pStyle w:val="Standard"/>
        <w:numPr>
          <w:ilvl w:val="0"/>
          <w:numId w:val="8"/>
        </w:numPr>
        <w:spacing w:before="0" w:after="120"/>
        <w:jc w:val="both"/>
        <w:rPr>
          <w:color w:val="000000"/>
          <w:sz w:val="22"/>
          <w:szCs w:val="22"/>
        </w:rPr>
      </w:pPr>
      <w:r>
        <w:rPr>
          <w:rFonts w:ascii="Arial" w:hAnsi="Arial"/>
          <w:color w:val="000000"/>
          <w:sz w:val="22"/>
          <w:szCs w:val="22"/>
        </w:rPr>
        <w:t xml:space="preserve">a także naprawy w całości powstałej po stronie Odbiorcy szkody, w tym                                  w szczególności do poniesienia realnie poniesionych przez Odbiorcę kosztów sądowych, kosztów zastępstwa procesowego oraz zapłaty zasądzonego odszkodowania lub zadośćuczynienia oraz innych należności zasądzonych na rzecz powoda lub kosztów polubownego załatwienia sprawy w przypadku zawarcia ugody. </w:t>
      </w:r>
    </w:p>
    <w:p>
      <w:pPr>
        <w:pStyle w:val="Standard"/>
        <w:jc w:val="both"/>
        <w:rPr>
          <w:rFonts w:ascii="Arial" w:hAnsi="Arial" w:eastAsia="ヒラギノ角ゴ Pro W3"/>
          <w:color w:val="000000"/>
          <w:sz w:val="22"/>
          <w:szCs w:val="22"/>
        </w:rPr>
      </w:pPr>
      <w:r>
        <w:rPr>
          <w:rFonts w:eastAsia="ヒラギノ角ゴ Pro W3" w:ascii="Arial" w:hAnsi="Arial"/>
          <w:color w:val="000000"/>
          <w:sz w:val="22"/>
          <w:szCs w:val="22"/>
        </w:rPr>
      </w:r>
    </w:p>
    <w:p>
      <w:pPr>
        <w:pStyle w:val="Standard"/>
        <w:jc w:val="center"/>
        <w:rPr>
          <w:rFonts w:ascii="Arial" w:hAnsi="Arial"/>
        </w:rPr>
      </w:pPr>
      <w:r>
        <w:rPr>
          <w:rFonts w:ascii="Arial" w:hAnsi="Arial"/>
          <w:b/>
          <w:color w:val="000000"/>
          <w:sz w:val="22"/>
          <w:szCs w:val="22"/>
        </w:rPr>
        <w:t>§ 5</w:t>
      </w:r>
    </w:p>
    <w:p>
      <w:pPr>
        <w:pStyle w:val="Standard"/>
        <w:spacing w:before="0" w:after="120"/>
        <w:jc w:val="both"/>
        <w:rPr>
          <w:rFonts w:ascii="Arial" w:hAnsi="Arial"/>
        </w:rPr>
      </w:pPr>
      <w:r>
        <w:rPr>
          <w:rFonts w:ascii="Arial" w:hAnsi="Arial"/>
          <w:color w:val="000000"/>
          <w:sz w:val="22"/>
          <w:szCs w:val="22"/>
        </w:rPr>
        <w:t>1.  Strony ustalają, że w razie niewykonania lub nienależytego wykonania obowiązków umownych, niezależnie od faktu powstania szkody, mogą być zastosowane kary umowne z następujących tytułów:</w:t>
      </w:r>
    </w:p>
    <w:p>
      <w:pPr>
        <w:pStyle w:val="Standard"/>
        <w:spacing w:before="0" w:after="120"/>
        <w:jc w:val="both"/>
        <w:rPr>
          <w:rFonts w:ascii="Arial" w:hAnsi="Arial"/>
        </w:rPr>
      </w:pPr>
      <w:r>
        <w:rPr>
          <w:rFonts w:ascii="Arial" w:hAnsi="Arial"/>
          <w:color w:val="000000"/>
          <w:sz w:val="22"/>
          <w:szCs w:val="22"/>
        </w:rPr>
        <w:t>a) w razie zwłoki w dostawie zamówienia lub w razie opóźnienia w dostawie leków, środków    spożywczych specjalnego przeznaczenia żywieniowego oraz wyrobów medycznych wolnych od wad Dostawca zapłaci na żądanie Odbiorcy karę umowną w wysokości 75 zł (siedemdziesiąt pięć złotych)  za każdy dzień zwłoki,</w:t>
      </w:r>
    </w:p>
    <w:p>
      <w:pPr>
        <w:pStyle w:val="Standard"/>
        <w:spacing w:before="0" w:after="120"/>
        <w:jc w:val="both"/>
        <w:rPr>
          <w:rFonts w:ascii="Arial" w:hAnsi="Arial"/>
        </w:rPr>
      </w:pPr>
      <w:r>
        <w:rPr>
          <w:rFonts w:ascii="Arial" w:hAnsi="Arial"/>
          <w:color w:val="000000"/>
          <w:sz w:val="22"/>
          <w:szCs w:val="22"/>
        </w:rPr>
        <w:t>b) w razie odstąpienia przez Odbiorcę od niniejszej umowy z przyczyn leżących po stronie Dostawcy, Dostawca zapłaci na żądanie Odbiorcy karę umowną w wysokości 20 % wartości,                   o której mowa w paragrafie 1 pkt2 niniejszej umowy.</w:t>
      </w:r>
    </w:p>
    <w:p>
      <w:pPr>
        <w:pStyle w:val="Standard"/>
        <w:spacing w:before="0" w:after="120"/>
        <w:jc w:val="both"/>
        <w:rPr/>
      </w:pPr>
      <w:r>
        <w:rPr>
          <w:rFonts w:ascii="Arial" w:hAnsi="Arial"/>
          <w:color w:val="000000"/>
          <w:sz w:val="22"/>
          <w:szCs w:val="22"/>
        </w:rPr>
        <w:t>2. Określone powyżej kary umowne mogą być przez Odbiorcę dochodzone niezależnie od siebie               i niezależnie od faktu i wysokości powstałej szkody, chyba że Odbiorca dokonał zakupu zastępczego, o którym mowa w paragrafów 2 pkt 6. W takim przypadku kara nie będzie naliczana a Odbiorca obciąży Dostawcę różnicą między ceną z niniejszej umowy a ceną zakupu u innego dostawcy.</w:t>
      </w:r>
    </w:p>
    <w:p>
      <w:pPr>
        <w:pStyle w:val="Standard"/>
        <w:spacing w:before="0" w:after="120"/>
        <w:jc w:val="both"/>
        <w:rPr/>
      </w:pPr>
      <w:r>
        <w:rPr>
          <w:rFonts w:ascii="Arial" w:hAnsi="Arial"/>
          <w:color w:val="000000"/>
          <w:sz w:val="22"/>
          <w:szCs w:val="22"/>
        </w:rPr>
        <w:t>3.  Odbiorca może w każdym czasie odstąpić od żądania zapłaty przez Dostawcę kary umownej.</w:t>
      </w:r>
    </w:p>
    <w:p>
      <w:pPr>
        <w:pStyle w:val="Standard"/>
        <w:spacing w:before="0" w:after="120"/>
        <w:jc w:val="both"/>
        <w:rPr/>
      </w:pPr>
      <w:r>
        <w:rPr>
          <w:rFonts w:ascii="Arial" w:hAnsi="Arial"/>
          <w:color w:val="000000"/>
          <w:sz w:val="22"/>
          <w:szCs w:val="22"/>
        </w:rPr>
        <w:t>4. Odbiorca może dochodzić od Dostawcy odszkodowanie przewyższające wartość zastrzeżonej kary umownej.</w:t>
      </w:r>
    </w:p>
    <w:p>
      <w:pPr>
        <w:pStyle w:val="Standard"/>
        <w:spacing w:before="0" w:after="120"/>
        <w:jc w:val="both"/>
        <w:rPr/>
      </w:pPr>
      <w:r>
        <w:rPr>
          <w:rFonts w:ascii="Arial" w:hAnsi="Arial"/>
          <w:color w:val="000000"/>
          <w:sz w:val="22"/>
          <w:szCs w:val="22"/>
        </w:rPr>
        <w:t>5. Odbiorca może potrącić należną karę umowną z przysługującego Dostawcy wynagrodzenia, to samo dotyczy kosztu zakupu zastępczego, o czym mowa w pkt 2 tego paragrafu.</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shd w:fill="FFFFFF" w:val="clear"/>
        </w:rPr>
        <w:t>§ 6</w:t>
      </w:r>
    </w:p>
    <w:p>
      <w:pPr>
        <w:pStyle w:val="Standard"/>
        <w:numPr>
          <w:ilvl w:val="0"/>
          <w:numId w:val="5"/>
        </w:numPr>
        <w:tabs>
          <w:tab w:val="left" w:pos="405" w:leader="none"/>
        </w:tabs>
        <w:spacing w:before="0" w:after="120"/>
        <w:rPr>
          <w:rFonts w:ascii="Arial" w:hAnsi="Arial"/>
        </w:rPr>
      </w:pPr>
      <w:r>
        <w:rPr>
          <w:rFonts w:ascii="Arial" w:hAnsi="Arial"/>
          <w:color w:val="000000"/>
          <w:sz w:val="22"/>
          <w:szCs w:val="22"/>
          <w:shd w:fill="FFFFFF" w:val="clear"/>
        </w:rPr>
        <w:t>Zmiana  postanowień  niniejszej  umowy  może  nastąpić wyłącznie na piśmie pod rygorem nieważności takiej zmiany z zastrzeżeniem wyjątków wskazanych postanowieniami powyżej, w tym § 1 ust. 6.</w:t>
      </w:r>
    </w:p>
    <w:p>
      <w:pPr>
        <w:pStyle w:val="Standard"/>
        <w:numPr>
          <w:ilvl w:val="0"/>
          <w:numId w:val="5"/>
        </w:numPr>
        <w:tabs>
          <w:tab w:val="left" w:pos="-100" w:leader="none"/>
        </w:tabs>
        <w:jc w:val="both"/>
        <w:rPr>
          <w:rFonts w:ascii="Arial" w:hAnsi="Arial"/>
        </w:rPr>
      </w:pPr>
      <w:r>
        <w:rPr>
          <w:rFonts w:ascii="Arial" w:hAnsi="Arial"/>
          <w:color w:val="000000"/>
          <w:sz w:val="22"/>
          <w:szCs w:val="22"/>
        </w:rPr>
        <w:t>Z zastrzeżeniem przypadków opisanych w treści niniejszej umowy oraz w ogłoszeniu                   o niniejszym zamówieniu publicznym lub w treści SIWZ, niedopuszczalna jest jednak pod rygorem nieważności zmiana postanowień umowy oraz wprowadzenie nowych postanowień umowy niekorzystnych dla</w:t>
      </w:r>
      <w:r>
        <w:rPr>
          <w:rFonts w:ascii="Arial" w:hAnsi="Arial"/>
          <w:b/>
          <w:color w:val="000000"/>
          <w:sz w:val="22"/>
          <w:szCs w:val="22"/>
        </w:rPr>
        <w:t xml:space="preserve"> </w:t>
      </w:r>
      <w:r>
        <w:rPr>
          <w:rFonts w:ascii="Arial" w:hAnsi="Arial"/>
          <w:color w:val="000000"/>
          <w:sz w:val="22"/>
          <w:szCs w:val="22"/>
        </w:rPr>
        <w:t>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jeśli pojawi się konieczność dostosowania jej treści do powszechnie obowiązujących przepisów prawa regulującego obrót, odpłatność, stosowanie leków lub środków spożywczych specjalnego przeznaczenia żywieniowego i wyrobów medycznych. Zmiana będzie dopuszczalna w przypadku pojawienia się nowych możliwych do zastosowania leków, wycofania leków objętych Umową z produkcji a także w przypadku konieczności podjęcia działań niezbędnych i koniecznych dla ochrony zdrowia pacjentów Odbiorcy. Jeżeli                    w okresie obowiązywania umowy nie zostanie wyczerpana kwota obejmująca wartość zamówienia, dopuszcza się możliwość przedłużenia obowiązywania okresu umowy aż do wyczerpania wartości zamówienia wskazanej w paragrafie 1 pkt 2 umowy.</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rPr>
        <w:t>§ 7</w:t>
      </w:r>
    </w:p>
    <w:p>
      <w:pPr>
        <w:pStyle w:val="Standard"/>
        <w:numPr>
          <w:ilvl w:val="0"/>
          <w:numId w:val="6"/>
        </w:numPr>
        <w:spacing w:before="0" w:after="120"/>
        <w:jc w:val="both"/>
        <w:rPr>
          <w:b w:val="false"/>
          <w:b w:val="false"/>
          <w:bCs w:val="false"/>
        </w:rPr>
      </w:pPr>
      <w:r>
        <w:rPr>
          <w:rFonts w:ascii="Arial" w:hAnsi="Arial"/>
          <w:b w:val="false"/>
          <w:bCs w:val="false"/>
          <w:color w:val="000000"/>
          <w:sz w:val="22"/>
          <w:szCs w:val="22"/>
        </w:rPr>
        <w:t>Niniejsza umowa wchodzi w życie z dniem podpisania.</w:t>
      </w:r>
    </w:p>
    <w:p>
      <w:pPr>
        <w:pStyle w:val="Standard"/>
        <w:numPr>
          <w:ilvl w:val="0"/>
          <w:numId w:val="6"/>
        </w:numPr>
        <w:spacing w:before="0" w:after="120"/>
        <w:jc w:val="both"/>
        <w:rPr>
          <w:rFonts w:ascii="Arial" w:hAnsi="Arial"/>
        </w:rPr>
      </w:pPr>
      <w:r>
        <w:rPr>
          <w:rFonts w:ascii="Arial" w:hAnsi="Arial"/>
          <w:b w:val="false"/>
          <w:bCs w:val="false"/>
          <w:color w:val="000000"/>
          <w:sz w:val="22"/>
          <w:szCs w:val="22"/>
        </w:rPr>
        <w:t>Umowę zawiera się na czas określony do dnia ____________________.</w:t>
      </w:r>
    </w:p>
    <w:p>
      <w:pPr>
        <w:pStyle w:val="Standard"/>
        <w:numPr>
          <w:ilvl w:val="0"/>
          <w:numId w:val="6"/>
        </w:numPr>
        <w:jc w:val="both"/>
        <w:rPr>
          <w:rFonts w:ascii="Arial" w:hAnsi="Arial"/>
        </w:rPr>
      </w:pPr>
      <w:r>
        <w:rPr>
          <w:rFonts w:ascii="Arial" w:hAnsi="Arial"/>
          <w:b w:val="false"/>
          <w:bCs w:val="false"/>
          <w:color w:val="000000"/>
          <w:sz w:val="22"/>
          <w:szCs w:val="22"/>
        </w:rPr>
        <w:t xml:space="preserve">Oprócz okoliczności przewidzianych w Prawie zamówień publicznych Odbiorca może rozwiązać </w:t>
      </w:r>
      <w:r>
        <w:rPr>
          <w:rFonts w:ascii="Arial" w:hAnsi="Arial"/>
          <w:color w:val="000000"/>
          <w:sz w:val="22"/>
          <w:szCs w:val="22"/>
        </w:rPr>
        <w:t>niniejszą umowę ze skutkiem natychmiastowym w przypadku rażącego nie wywiązywania się przez Dostawcę z postanowień Umowy po uprzednim zawiadomieniu               o możliwości rozwiązania Umowy z zastrzeżeniem terminu do doprowadzenia przez Dostawcę do stanu zgodnego z Umową.</w:t>
      </w:r>
    </w:p>
    <w:p>
      <w:pPr>
        <w:pStyle w:val="Standard"/>
        <w:jc w:val="center"/>
        <w:rPr>
          <w:rFonts w:ascii="Arial" w:hAnsi="Arial"/>
          <w:b/>
          <w:b/>
          <w:color w:val="000000"/>
          <w:sz w:val="22"/>
          <w:szCs w:val="22"/>
        </w:rPr>
      </w:pPr>
      <w:r>
        <w:rPr>
          <w:rFonts w:ascii="Arial" w:hAnsi="Arial"/>
          <w:b/>
          <w:color w:val="000000"/>
          <w:sz w:val="22"/>
          <w:szCs w:val="22"/>
        </w:rPr>
      </w:r>
    </w:p>
    <w:p>
      <w:pPr>
        <w:pStyle w:val="Standard"/>
        <w:jc w:val="center"/>
        <w:rPr>
          <w:rFonts w:ascii="Arial" w:hAnsi="Arial"/>
        </w:rPr>
      </w:pPr>
      <w:r>
        <w:rPr>
          <w:rFonts w:ascii="Arial" w:hAnsi="Arial"/>
          <w:b/>
          <w:color w:val="000000"/>
          <w:sz w:val="22"/>
          <w:szCs w:val="22"/>
        </w:rPr>
        <w:t>§ 8</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Dostawca nie może bez zgody Odbiorcy dokonywać cesji wierzytelności wynikających                z niniejszej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Wszelkie załączniki wymienione w treści niniejszej umowy stanowią jej integralną część.</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W sprawach nieuregulowanych niniejszą umową mają zastosowanie przepisy Kodeksu cywilnego oraz inne odpowiednie przepisy obowiązującego prawa.</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Ewentualne spory powstałe na tle stosowania niniejszej umowy podlegają rozstrzygnięciu przez Sąd właściwy według siedziby Odbiorcy.</w:t>
      </w:r>
    </w:p>
    <w:p>
      <w:pPr>
        <w:pStyle w:val="Standard"/>
        <w:numPr>
          <w:ilvl w:val="0"/>
          <w:numId w:val="7"/>
        </w:numPr>
        <w:tabs>
          <w:tab w:val="left" w:pos="315" w:leader="none"/>
        </w:tabs>
        <w:spacing w:before="0" w:after="120"/>
        <w:jc w:val="both"/>
        <w:rPr>
          <w:rFonts w:ascii="Arial" w:hAnsi="Arial"/>
        </w:rPr>
      </w:pPr>
      <w:r>
        <w:rPr>
          <w:rFonts w:ascii="Arial" w:hAnsi="Arial"/>
          <w:color w:val="000000"/>
          <w:sz w:val="22"/>
          <w:szCs w:val="22"/>
        </w:rPr>
        <w:t>Umowę sporządzono w trzech jednobrzmiących egzemplarzach, w tym dwa egzemplarze otrzymuje Odbiorca, a jeden egzemplarz otrzymuje Dostawca.</w:t>
      </w:r>
    </w:p>
    <w:p>
      <w:pPr>
        <w:pStyle w:val="Standard"/>
        <w:jc w:val="both"/>
        <w:rPr>
          <w:rFonts w:ascii="Arial" w:hAnsi="Arial" w:eastAsia="ヒラギノ角ゴ Pro W3"/>
          <w:b/>
          <w:b/>
          <w:color w:val="000000"/>
          <w:sz w:val="22"/>
          <w:szCs w:val="22"/>
        </w:rPr>
      </w:pPr>
      <w:r>
        <w:rPr>
          <w:rFonts w:eastAsia="ヒラギノ角ゴ Pro W3" w:ascii="Arial" w:hAnsi="Arial"/>
          <w:b/>
          <w:color w:val="000000"/>
          <w:sz w:val="22"/>
          <w:szCs w:val="22"/>
        </w:rPr>
      </w:r>
    </w:p>
    <w:p>
      <w:pPr>
        <w:pStyle w:val="Standard"/>
        <w:rPr/>
      </w:pPr>
      <w:r>
        <w:rPr/>
      </w:r>
    </w:p>
    <w:sectPr>
      <w:headerReference w:type="default" r:id="rId2"/>
      <w:type w:val="nextPage"/>
      <w:pgSz w:w="11906" w:h="16838"/>
      <w:pgMar w:left="1134" w:right="1134" w:header="810" w:top="1155"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keepNext/>
      <w:spacing w:before="24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szCs w:val="22"/>
        <w:bCs/>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sz w:val="22"/>
        <w:b w:val="false"/>
        <w:szCs w:val="22"/>
        <w:bCs w:val="false"/>
        <w:rFonts w:ascii="Arial" w:hAnsi="Arial" w:eastAsia="Garamond" w:cs="Garamond"/>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sz w:val="22"/>
        <w:szCs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sz w:val="22"/>
        <w:szCs w:val="22"/>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rPr>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rPr>
        <w:b/>
        <w:rFonts w:ascii="Arial" w:hAnsi="Arial"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1069"/>
        </w:tabs>
        <w:ind w:left="1069" w:hanging="360"/>
      </w:pPr>
      <w:rPr>
        <w:sz w:val="22"/>
        <w:color w:val="00000A"/>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709"/>
  <w:autoHyphenation w:val="false"/>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annotation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textAlignment w:val="baseline"/>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b/>
      <w:bCs/>
      <w:sz w:val="22"/>
      <w:szCs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eastAsia="Garamond" w:cs="Garamond"/>
      <w:b w:val="false"/>
      <w:bCs w:val="false"/>
      <w:sz w:val="22"/>
      <w:szCs w:val="22"/>
      <w:lang w:val="pl-P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eastAsia="ヒラギノ角ゴ Pro W3"/>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eastAsia="ヒラギノ角ゴ Pro W3"/>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eastAsia="ヒラギノ角ゴ Pro W3"/>
      <w:sz w:val="22"/>
      <w:szCs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eastAsia="ヒラギノ角ゴ Pro W3"/>
      <w:b/>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AbsatzStandardschriftart" w:customStyle="1">
    <w:name w:val="Absatz-Standardschriftart"/>
    <w:qFormat/>
    <w:rPr/>
  </w:style>
  <w:style w:type="character" w:styleId="Domylnaczcionkaakapitu2" w:customStyle="1">
    <w:name w:val="Domyślna czcionka akapitu2"/>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eastAsia="ヒラギノ角ゴ Pro W3"/>
      <w:b w:val="false"/>
      <w:i w:val="fals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Times New Roman" w:hAnsi="Times New Roman" w:eastAsia="Times New Roman" w:cs="Times New Roman"/>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b w:val="false"/>
      <w:bCs w:val="false"/>
      <w:color w:val="000000"/>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b w:val="false"/>
      <w:i w:val="false"/>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Domylnaczcionkaakapitu1" w:customStyle="1">
    <w:name w:val="Domyślna czcionka akapitu1"/>
    <w:qFormat/>
    <w:rPr/>
  </w:style>
  <w:style w:type="character" w:styleId="Znakinumeracji" w:customStyle="1">
    <w:name w:val="Znaki numeracji"/>
    <w:qFormat/>
    <w:rPr/>
  </w:style>
  <w:style w:type="character" w:styleId="WW8Num15z0" w:customStyle="1">
    <w:name w:val="WW8Num15z0"/>
    <w:qFormat/>
    <w:rPr>
      <w:b w:val="false"/>
      <w:i w:val="false"/>
    </w:rPr>
  </w:style>
  <w:style w:type="character" w:styleId="Annotationreference">
    <w:name w:val="annotation reference"/>
    <w:qFormat/>
    <w:rsid w:val="00e76022"/>
    <w:rPr>
      <w:sz w:val="16"/>
      <w:szCs w:val="16"/>
    </w:rPr>
  </w:style>
  <w:style w:type="character" w:styleId="TekstkomentarzaZnak" w:customStyle="1">
    <w:name w:val="Tekst komentarza Znak"/>
    <w:basedOn w:val="DefaultParagraphFont"/>
    <w:link w:val="Tekstkomentarza"/>
    <w:uiPriority w:val="99"/>
    <w:qFormat/>
    <w:rsid w:val="00e76022"/>
    <w:rPr>
      <w:lang w:val="fi-FI" w:eastAsia="en-US"/>
    </w:rPr>
  </w:style>
  <w:style w:type="character" w:styleId="CharStyle5" w:customStyle="1">
    <w:name w:val="Char Style 5"/>
    <w:link w:val="Style4"/>
    <w:qFormat/>
    <w:rsid w:val="00e76022"/>
    <w:rPr>
      <w:sz w:val="21"/>
      <w:szCs w:val="21"/>
      <w:shd w:fill="FFFFFF" w:val="clear"/>
    </w:rPr>
  </w:style>
  <w:style w:type="character" w:styleId="AkapitzlistZnak" w:customStyle="1">
    <w:name w:val="Akapit z listą Znak"/>
    <w:link w:val="Akapitzlist"/>
    <w:uiPriority w:val="34"/>
    <w:qFormat/>
    <w:rsid w:val="00e76022"/>
    <w:rPr>
      <w:sz w:val="24"/>
      <w:szCs w:val="24"/>
    </w:rPr>
  </w:style>
  <w:style w:type="character" w:styleId="TekstdymkaZnak" w:customStyle="1">
    <w:name w:val="Tekst dymka Znak"/>
    <w:basedOn w:val="DefaultParagraphFont"/>
    <w:link w:val="Tekstdymka"/>
    <w:uiPriority w:val="99"/>
    <w:semiHidden/>
    <w:qFormat/>
    <w:rsid w:val="00e76022"/>
    <w:rPr>
      <w:rFonts w:ascii="Tahoma" w:hAnsi="Tahoma" w:eastAsia="SimSun" w:cs="Mangal"/>
      <w:sz w:val="16"/>
      <w:szCs w:val="14"/>
      <w:lang w:eastAsia="zh-CN" w:bidi="hi-IN"/>
    </w:rPr>
  </w:style>
  <w:style w:type="character" w:styleId="ListLabel1">
    <w:name w:val="ListLabel 1"/>
    <w:qFormat/>
    <w:rPr>
      <w:b/>
      <w:bCs/>
      <w:sz w:val="22"/>
      <w:szCs w:val="22"/>
    </w:rPr>
  </w:style>
  <w:style w:type="character" w:styleId="ListLabel2">
    <w:name w:val="ListLabel 2"/>
    <w:qFormat/>
    <w:rPr>
      <w:rFonts w:eastAsia="Garamond" w:cs="Garamond"/>
      <w:b w:val="false"/>
      <w:bCs w:val="false"/>
      <w:sz w:val="22"/>
      <w:szCs w:val="22"/>
      <w:lang w:val="pl-PL"/>
    </w:rPr>
  </w:style>
  <w:style w:type="character" w:styleId="ListLabel3">
    <w:name w:val="ListLabel 3"/>
    <w:qFormat/>
    <w:rPr>
      <w:rFonts w:eastAsia="ヒラギノ角ゴ Pro W3"/>
      <w:sz w:val="22"/>
      <w:szCs w:val="22"/>
    </w:rPr>
  </w:style>
  <w:style w:type="character" w:styleId="ListLabel4">
    <w:name w:val="ListLabel 4"/>
    <w:qFormat/>
    <w:rPr>
      <w:rFonts w:eastAsia="ヒラギノ角ゴ Pro W3"/>
      <w:sz w:val="22"/>
    </w:rPr>
  </w:style>
  <w:style w:type="character" w:styleId="ListLabel5">
    <w:name w:val="ListLabel 5"/>
    <w:qFormat/>
    <w:rPr>
      <w:rFonts w:eastAsia="ヒラギノ角ゴ Pro W3"/>
      <w:sz w:val="22"/>
      <w:szCs w:val="22"/>
    </w:rPr>
  </w:style>
  <w:style w:type="character" w:styleId="ListLabel6">
    <w:name w:val="ListLabel 6"/>
    <w:qFormat/>
    <w:rPr>
      <w:b/>
    </w:rPr>
  </w:style>
  <w:style w:type="character" w:styleId="ListLabel7">
    <w:name w:val="ListLabel 7"/>
    <w:qFormat/>
    <w:rPr>
      <w:rFonts w:eastAsia="ヒラギノ角ゴ Pro W3"/>
      <w:b/>
    </w:rPr>
  </w:style>
  <w:style w:type="character" w:styleId="ListLabel8">
    <w:name w:val="ListLabel 8"/>
    <w:qFormat/>
    <w:rPr>
      <w:color w:val="00000A"/>
    </w:rPr>
  </w:style>
  <w:style w:type="character" w:styleId="ListLabel9">
    <w:name w:val="ListLabel 9"/>
    <w:qFormat/>
    <w:rPr>
      <w:color w:val="FF0000"/>
    </w:rPr>
  </w:style>
  <w:style w:type="character" w:styleId="ListLabel10">
    <w:name w:val="ListLabel 10"/>
    <w:qFormat/>
    <w:rPr>
      <w:color w:val="FF0000"/>
    </w:rPr>
  </w:style>
  <w:style w:type="character" w:styleId="ListLabel11">
    <w:name w:val="ListLabel 11"/>
    <w:qFormat/>
    <w:rPr>
      <w:color w:val="FF0000"/>
    </w:rPr>
  </w:style>
  <w:style w:type="character" w:styleId="ListLabel12">
    <w:name w:val="ListLabel 12"/>
    <w:qFormat/>
    <w:rPr>
      <w:color w:val="FF0000"/>
    </w:rPr>
  </w:style>
  <w:style w:type="character" w:styleId="ListLabel13">
    <w:name w:val="ListLabel 13"/>
    <w:qFormat/>
    <w:rPr>
      <w:color w:val="FF0000"/>
    </w:rPr>
  </w:style>
  <w:style w:type="character" w:styleId="ListLabel14">
    <w:name w:val="ListLabel 14"/>
    <w:qFormat/>
    <w:rPr>
      <w:color w:val="FF0000"/>
    </w:rPr>
  </w:style>
  <w:style w:type="character" w:styleId="ListLabel15">
    <w:name w:val="ListLabel 15"/>
    <w:qFormat/>
    <w:rPr>
      <w:color w:val="FF0000"/>
    </w:rPr>
  </w:style>
  <w:style w:type="character" w:styleId="ListLabel16">
    <w:name w:val="ListLabel 16"/>
    <w:qFormat/>
    <w:rPr>
      <w:color w:val="FF0000"/>
    </w:rPr>
  </w:style>
  <w:style w:type="character" w:styleId="ListLabel17">
    <w:name w:val="ListLabel 17"/>
    <w:qFormat/>
    <w:rPr>
      <w:rFonts w:eastAsia="Times New Roman" w:cs="Calibri"/>
    </w:rPr>
  </w:style>
  <w:style w:type="character" w:styleId="ListLabel18">
    <w:name w:val="ListLabel 18"/>
    <w:qFormat/>
    <w:rPr>
      <w:color w:val="00000A"/>
    </w:rPr>
  </w:style>
  <w:style w:type="character" w:styleId="ListLabel19">
    <w:name w:val="ListLabel 19"/>
    <w:qFormat/>
    <w:rPr>
      <w:color w:val="00000A"/>
      <w:sz w:val="22"/>
    </w:rPr>
  </w:style>
  <w:style w:type="character" w:styleId="ListLabel20">
    <w:name w:val="ListLabel 20"/>
    <w:qFormat/>
    <w:rPr>
      <w:b/>
      <w:bCs/>
      <w:sz w:val="22"/>
      <w:szCs w:val="22"/>
    </w:rPr>
  </w:style>
  <w:style w:type="character" w:styleId="ListLabel21">
    <w:name w:val="ListLabel 21"/>
    <w:qFormat/>
    <w:rPr>
      <w:rFonts w:eastAsia="Garamond" w:cs="Garamond"/>
      <w:b w:val="false"/>
      <w:bCs w:val="false"/>
      <w:sz w:val="22"/>
      <w:szCs w:val="22"/>
      <w:lang w:val="pl-PL"/>
    </w:rPr>
  </w:style>
  <w:style w:type="character" w:styleId="ListLabel22">
    <w:name w:val="ListLabel 22"/>
    <w:qFormat/>
    <w:rPr>
      <w:rFonts w:eastAsia="ヒラギノ角ゴ Pro W3"/>
      <w:sz w:val="22"/>
      <w:szCs w:val="22"/>
    </w:rPr>
  </w:style>
  <w:style w:type="character" w:styleId="ListLabel23">
    <w:name w:val="ListLabel 23"/>
    <w:qFormat/>
    <w:rPr>
      <w:rFonts w:eastAsia="ヒラギノ角ゴ Pro W3"/>
      <w:sz w:val="22"/>
    </w:rPr>
  </w:style>
  <w:style w:type="character" w:styleId="ListLabel24">
    <w:name w:val="ListLabel 24"/>
    <w:qFormat/>
    <w:rPr>
      <w:rFonts w:eastAsia="ヒラギノ角ゴ Pro W3"/>
      <w:sz w:val="22"/>
      <w:szCs w:val="22"/>
    </w:rPr>
  </w:style>
  <w:style w:type="character" w:styleId="ListLabel25">
    <w:name w:val="ListLabel 25"/>
    <w:qFormat/>
    <w:rPr>
      <w:b/>
    </w:rPr>
  </w:style>
  <w:style w:type="character" w:styleId="ListLabel26">
    <w:name w:val="ListLabel 26"/>
    <w:qFormat/>
    <w:rPr>
      <w:rFonts w:eastAsia="ヒラギノ角ゴ Pro W3"/>
      <w:b/>
    </w:rPr>
  </w:style>
  <w:style w:type="character" w:styleId="ListLabel27">
    <w:name w:val="ListLabel 27"/>
    <w:qFormat/>
    <w:rPr>
      <w:color w:val="00000A"/>
      <w:sz w:val="22"/>
    </w:rPr>
  </w:style>
  <w:style w:type="character" w:styleId="ListLabel28">
    <w:name w:val="ListLabel 28"/>
    <w:qFormat/>
    <w:rPr>
      <w:b/>
      <w:bCs/>
      <w:sz w:val="22"/>
      <w:szCs w:val="22"/>
    </w:rPr>
  </w:style>
  <w:style w:type="character" w:styleId="ListLabel29">
    <w:name w:val="ListLabel 29"/>
    <w:qFormat/>
    <w:rPr>
      <w:rFonts w:eastAsia="Garamond" w:cs="Garamond"/>
      <w:b w:val="false"/>
      <w:bCs w:val="false"/>
      <w:sz w:val="22"/>
      <w:szCs w:val="22"/>
      <w:lang w:val="pl-PL"/>
    </w:rPr>
  </w:style>
  <w:style w:type="character" w:styleId="ListLabel30">
    <w:name w:val="ListLabel 30"/>
    <w:qFormat/>
    <w:rPr>
      <w:rFonts w:eastAsia="ヒラギノ角ゴ Pro W3"/>
      <w:sz w:val="22"/>
      <w:szCs w:val="22"/>
    </w:rPr>
  </w:style>
  <w:style w:type="character" w:styleId="ListLabel31">
    <w:name w:val="ListLabel 31"/>
    <w:qFormat/>
    <w:rPr>
      <w:rFonts w:eastAsia="ヒラギノ角ゴ Pro W3"/>
      <w:sz w:val="22"/>
    </w:rPr>
  </w:style>
  <w:style w:type="character" w:styleId="ListLabel32">
    <w:name w:val="ListLabel 32"/>
    <w:qFormat/>
    <w:rPr>
      <w:rFonts w:eastAsia="ヒラギノ角ゴ Pro W3"/>
      <w:sz w:val="22"/>
      <w:szCs w:val="22"/>
    </w:rPr>
  </w:style>
  <w:style w:type="character" w:styleId="ListLabel33">
    <w:name w:val="ListLabel 33"/>
    <w:qFormat/>
    <w:rPr>
      <w:b w:val="false"/>
    </w:rPr>
  </w:style>
  <w:style w:type="character" w:styleId="ListLabel34">
    <w:name w:val="ListLabel 34"/>
    <w:qFormat/>
    <w:rPr>
      <w:rFonts w:eastAsia="ヒラギノ角ゴ Pro W3"/>
      <w:b/>
    </w:rPr>
  </w:style>
  <w:style w:type="character" w:styleId="ListLabel35">
    <w:name w:val="ListLabel 35"/>
    <w:qFormat/>
    <w:rPr>
      <w:color w:val="00000A"/>
      <w:sz w:val="22"/>
    </w:rPr>
  </w:style>
  <w:style w:type="character" w:styleId="ListLabel36">
    <w:name w:val="ListLabel 36"/>
    <w:qFormat/>
    <w:rPr>
      <w:b/>
      <w:bCs/>
      <w:sz w:val="22"/>
      <w:szCs w:val="22"/>
    </w:rPr>
  </w:style>
  <w:style w:type="character" w:styleId="ListLabel37">
    <w:name w:val="ListLabel 37"/>
    <w:qFormat/>
    <w:rPr>
      <w:rFonts w:eastAsia="Garamond" w:cs="Garamond"/>
      <w:b w:val="false"/>
      <w:bCs w:val="false"/>
      <w:sz w:val="22"/>
      <w:szCs w:val="22"/>
      <w:lang w:val="pl-PL"/>
    </w:rPr>
  </w:style>
  <w:style w:type="character" w:styleId="ListLabel38">
    <w:name w:val="ListLabel 38"/>
    <w:qFormat/>
    <w:rPr>
      <w:rFonts w:eastAsia="ヒラギノ角ゴ Pro W3"/>
      <w:sz w:val="22"/>
      <w:szCs w:val="22"/>
    </w:rPr>
  </w:style>
  <w:style w:type="character" w:styleId="ListLabel39">
    <w:name w:val="ListLabel 39"/>
    <w:qFormat/>
    <w:rPr>
      <w:rFonts w:eastAsia="ヒラギノ角ゴ Pro W3"/>
      <w:sz w:val="22"/>
    </w:rPr>
  </w:style>
  <w:style w:type="character" w:styleId="ListLabel40">
    <w:name w:val="ListLabel 40"/>
    <w:qFormat/>
    <w:rPr>
      <w:rFonts w:eastAsia="ヒラギノ角ゴ Pro W3"/>
      <w:sz w:val="22"/>
      <w:szCs w:val="22"/>
    </w:rPr>
  </w:style>
  <w:style w:type="character" w:styleId="ListLabel41">
    <w:name w:val="ListLabel 41"/>
    <w:qFormat/>
    <w:rPr>
      <w:b w:val="false"/>
    </w:rPr>
  </w:style>
  <w:style w:type="character" w:styleId="ListLabel42">
    <w:name w:val="ListLabel 42"/>
    <w:qFormat/>
    <w:rPr>
      <w:rFonts w:eastAsia="ヒラギノ角ゴ Pro W3"/>
      <w:b/>
    </w:rPr>
  </w:style>
  <w:style w:type="character" w:styleId="ListLabel43">
    <w:name w:val="ListLabel 43"/>
    <w:qFormat/>
    <w:rPr>
      <w:color w:val="00000A"/>
      <w:sz w:val="22"/>
    </w:rPr>
  </w:style>
  <w:style w:type="character" w:styleId="ListLabel44">
    <w:name w:val="ListLabel 44"/>
    <w:qFormat/>
    <w:rPr>
      <w:b/>
      <w:bCs/>
      <w:sz w:val="22"/>
      <w:szCs w:val="22"/>
    </w:rPr>
  </w:style>
  <w:style w:type="character" w:styleId="ListLabel45">
    <w:name w:val="ListLabel 45"/>
    <w:qFormat/>
    <w:rPr>
      <w:rFonts w:eastAsia="Garamond" w:cs="Garamond"/>
      <w:b w:val="false"/>
      <w:bCs w:val="false"/>
      <w:sz w:val="22"/>
      <w:szCs w:val="22"/>
      <w:lang w:val="pl-PL"/>
    </w:rPr>
  </w:style>
  <w:style w:type="character" w:styleId="ListLabel46">
    <w:name w:val="ListLabel 46"/>
    <w:qFormat/>
    <w:rPr>
      <w:rFonts w:eastAsia="ヒラギノ角ゴ Pro W3"/>
      <w:sz w:val="22"/>
      <w:szCs w:val="22"/>
    </w:rPr>
  </w:style>
  <w:style w:type="character" w:styleId="ListLabel47">
    <w:name w:val="ListLabel 47"/>
    <w:qFormat/>
    <w:rPr>
      <w:rFonts w:eastAsia="ヒラギノ角ゴ Pro W3"/>
      <w:sz w:val="22"/>
    </w:rPr>
  </w:style>
  <w:style w:type="character" w:styleId="ListLabel48">
    <w:name w:val="ListLabel 48"/>
    <w:qFormat/>
    <w:rPr>
      <w:rFonts w:eastAsia="ヒラギノ角ゴ Pro W3"/>
      <w:sz w:val="22"/>
      <w:szCs w:val="22"/>
    </w:rPr>
  </w:style>
  <w:style w:type="character" w:styleId="ListLabel49">
    <w:name w:val="ListLabel 49"/>
    <w:qFormat/>
    <w:rPr>
      <w:b w:val="false"/>
    </w:rPr>
  </w:style>
  <w:style w:type="character" w:styleId="ListLabel50">
    <w:name w:val="ListLabel 50"/>
    <w:qFormat/>
    <w:rPr>
      <w:rFonts w:eastAsia="ヒラギノ角ゴ Pro W3"/>
      <w:b/>
    </w:rPr>
  </w:style>
  <w:style w:type="character" w:styleId="ListLabel51">
    <w:name w:val="ListLabel 51"/>
    <w:qFormat/>
    <w:rPr>
      <w:color w:val="00000A"/>
      <w:sz w:val="22"/>
    </w:rPr>
  </w:style>
  <w:style w:type="character" w:styleId="ListLabel52">
    <w:name w:val="ListLabel 52"/>
    <w:qFormat/>
    <w:rPr>
      <w:rFonts w:ascii="Arial" w:hAnsi="Arial"/>
      <w:b/>
      <w:bCs/>
      <w:sz w:val="22"/>
      <w:szCs w:val="22"/>
    </w:rPr>
  </w:style>
  <w:style w:type="character" w:styleId="ListLabel53">
    <w:name w:val="ListLabel 53"/>
    <w:qFormat/>
    <w:rPr>
      <w:rFonts w:ascii="Arial" w:hAnsi="Arial" w:eastAsia="Garamond" w:cs="Garamond"/>
      <w:b w:val="false"/>
      <w:bCs w:val="false"/>
      <w:sz w:val="22"/>
      <w:szCs w:val="22"/>
      <w:lang w:val="pl-PL"/>
    </w:rPr>
  </w:style>
  <w:style w:type="character" w:styleId="ListLabel54">
    <w:name w:val="ListLabel 54"/>
    <w:qFormat/>
    <w:rPr>
      <w:rFonts w:ascii="Arial" w:hAnsi="Arial" w:eastAsia="ヒラギノ角ゴ Pro W3"/>
      <w:sz w:val="22"/>
      <w:szCs w:val="22"/>
    </w:rPr>
  </w:style>
  <w:style w:type="character" w:styleId="ListLabel55">
    <w:name w:val="ListLabel 55"/>
    <w:qFormat/>
    <w:rPr>
      <w:rFonts w:ascii="Arial" w:hAnsi="Arial" w:eastAsia="ヒラギノ角ゴ Pro W3"/>
      <w:sz w:val="22"/>
    </w:rPr>
  </w:style>
  <w:style w:type="character" w:styleId="ListLabel56">
    <w:name w:val="ListLabel 56"/>
    <w:qFormat/>
    <w:rPr>
      <w:rFonts w:ascii="Arial" w:hAnsi="Arial" w:eastAsia="ヒラギノ角ゴ Pro W3"/>
      <w:sz w:val="22"/>
      <w:szCs w:val="22"/>
    </w:rPr>
  </w:style>
  <w:style w:type="character" w:styleId="ListLabel57">
    <w:name w:val="ListLabel 57"/>
    <w:qFormat/>
    <w:rPr>
      <w:rFonts w:ascii="Arial" w:hAnsi="Arial"/>
      <w:b w:val="false"/>
    </w:rPr>
  </w:style>
  <w:style w:type="character" w:styleId="ListLabel58">
    <w:name w:val="ListLabel 58"/>
    <w:qFormat/>
    <w:rPr>
      <w:rFonts w:ascii="Arial" w:hAnsi="Arial" w:eastAsia="ヒラギノ角ゴ Pro W3"/>
      <w:b/>
    </w:rPr>
  </w:style>
  <w:style w:type="character" w:styleId="ListLabel59">
    <w:name w:val="ListLabel 59"/>
    <w:qFormat/>
    <w:rPr>
      <w:color w:val="00000A"/>
      <w:sz w:val="22"/>
    </w:rPr>
  </w:style>
  <w:style w:type="character" w:styleId="ListLabel60">
    <w:name w:val="ListLabel 60"/>
    <w:qFormat/>
    <w:rPr>
      <w:rFonts w:ascii="Arial" w:hAnsi="Arial"/>
      <w:b/>
      <w:bCs/>
      <w:sz w:val="22"/>
      <w:szCs w:val="22"/>
    </w:rPr>
  </w:style>
  <w:style w:type="character" w:styleId="ListLabel61">
    <w:name w:val="ListLabel 61"/>
    <w:qFormat/>
    <w:rPr>
      <w:rFonts w:ascii="Arial" w:hAnsi="Arial" w:eastAsia="Garamond" w:cs="Garamond"/>
      <w:b w:val="false"/>
      <w:bCs w:val="false"/>
      <w:sz w:val="22"/>
      <w:szCs w:val="22"/>
      <w:lang w:val="pl-PL"/>
    </w:rPr>
  </w:style>
  <w:style w:type="character" w:styleId="ListLabel62">
    <w:name w:val="ListLabel 62"/>
    <w:qFormat/>
    <w:rPr>
      <w:rFonts w:ascii="Arial" w:hAnsi="Arial" w:eastAsia="ヒラギノ角ゴ Pro W3"/>
      <w:sz w:val="22"/>
      <w:szCs w:val="22"/>
    </w:rPr>
  </w:style>
  <w:style w:type="character" w:styleId="ListLabel63">
    <w:name w:val="ListLabel 63"/>
    <w:qFormat/>
    <w:rPr>
      <w:rFonts w:ascii="Arial" w:hAnsi="Arial" w:eastAsia="ヒラギノ角ゴ Pro W3"/>
      <w:sz w:val="22"/>
    </w:rPr>
  </w:style>
  <w:style w:type="character" w:styleId="ListLabel64">
    <w:name w:val="ListLabel 64"/>
    <w:qFormat/>
    <w:rPr>
      <w:rFonts w:ascii="Arial" w:hAnsi="Arial" w:eastAsia="ヒラギノ角ゴ Pro W3"/>
      <w:sz w:val="22"/>
      <w:szCs w:val="22"/>
    </w:rPr>
  </w:style>
  <w:style w:type="character" w:styleId="ListLabel65">
    <w:name w:val="ListLabel 65"/>
    <w:qFormat/>
    <w:rPr>
      <w:rFonts w:ascii="Arial" w:hAnsi="Arial"/>
      <w:b w:val="false"/>
    </w:rPr>
  </w:style>
  <w:style w:type="character" w:styleId="ListLabel66">
    <w:name w:val="ListLabel 66"/>
    <w:qFormat/>
    <w:rPr>
      <w:rFonts w:ascii="Arial" w:hAnsi="Arial" w:eastAsia="ヒラギノ角ゴ Pro W3"/>
      <w:b/>
    </w:rPr>
  </w:style>
  <w:style w:type="character" w:styleId="ListLabel67">
    <w:name w:val="ListLabel 67"/>
    <w:qFormat/>
    <w:rPr>
      <w:color w:val="00000A"/>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widowControl w:val="false"/>
      <w:bidi w:val="0"/>
      <w:jc w:val="left"/>
    </w:pPr>
    <w:rPr>
      <w:rFonts w:ascii="Times New Roman" w:hAnsi="Times New Roman" w:eastAsia="Times New Roman" w:cs="Times New Roman"/>
      <w:color w:val="00000A"/>
      <w:sz w:val="24"/>
      <w:szCs w:val="20"/>
      <w:lang w:val="pl-PL" w:eastAsia="pl-PL" w:bidi="ar-SA"/>
    </w:rPr>
  </w:style>
  <w:style w:type="paragraph" w:styleId="Podpis" w:customStyle="1">
    <w:name w:val="Caption"/>
    <w:basedOn w:val="Normal"/>
    <w:qFormat/>
    <w:pPr>
      <w:widowControl w:val="false"/>
      <w:suppressLineNumbers/>
      <w:bidi w:val="0"/>
      <w:spacing w:before="120" w:after="120"/>
      <w:jc w:val="left"/>
    </w:pPr>
    <w:rPr>
      <w:rFonts w:ascii="Times New Roman" w:hAnsi="Times New Roman" w:eastAsia="Times New Roman" w:cs="Times New Roman"/>
      <w:i/>
      <w:iCs/>
      <w:color w:val="00000A"/>
      <w:sz w:val="24"/>
      <w:szCs w:val="20"/>
      <w:lang w:val="pl-PL" w:eastAsia="pl-PL" w:bidi="ar-SA"/>
    </w:rPr>
  </w:style>
  <w:style w:type="paragraph" w:styleId="Indeks" w:customStyle="1">
    <w:name w:val="Indeks"/>
    <w:basedOn w:val="Normal"/>
    <w:qFormat/>
    <w:pPr>
      <w:widowControl w:val="false"/>
      <w:suppressLineNumbers/>
      <w:bidi w:val="0"/>
      <w:jc w:val="left"/>
    </w:pPr>
    <w:rPr>
      <w:rFonts w:ascii="Times New Roman" w:hAnsi="Times New Roman" w:eastAsia="Times New Roman" w:cs="Times New Roman"/>
      <w:color w:val="00000A"/>
      <w:sz w:val="24"/>
      <w:szCs w:val="20"/>
      <w:lang w:val="pl-PL" w:eastAsia="pl-PL" w:bidi="ar-SA"/>
    </w:rPr>
  </w:style>
  <w:style w:type="paragraph" w:styleId="Nagwek2" w:customStyle="1">
    <w:name w:val="Nagłówek2"/>
    <w:basedOn w:val="Normal"/>
    <w:qFormat/>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bidi w:val="0"/>
      <w:jc w:val="left"/>
    </w:pPr>
    <w:rPr>
      <w:rFonts w:ascii="Times New Roman" w:hAnsi="Times New Roman" w:eastAsia="Arial" w:cs="Times New Roman"/>
      <w:color w:val="00000A"/>
      <w:sz w:val="24"/>
      <w:szCs w:val="20"/>
      <w:lang w:val="pl-PL" w:eastAsia="zh-CN" w:bidi="ar-SA"/>
    </w:rPr>
  </w:style>
  <w:style w:type="paragraph" w:styleId="Textbody" w:customStyle="1">
    <w:name w:val="Text body"/>
    <w:basedOn w:val="Standard"/>
    <w:qFormat/>
    <w:pPr>
      <w:spacing w:before="0" w:after="120"/>
    </w:pPr>
    <w:rPr/>
  </w:style>
  <w:style w:type="paragraph" w:styleId="Nagwek1" w:customStyle="1">
    <w:name w:val="Nagłówek1"/>
    <w:basedOn w:val="Normal"/>
    <w:qFormat/>
    <w:pPr>
      <w:keepNext/>
      <w:spacing w:before="240" w:after="120"/>
    </w:pPr>
    <w:rPr>
      <w:rFonts w:ascii="Arial" w:hAnsi="Arial" w:eastAsia="Lucida Sans Unicode"/>
      <w:sz w:val="28"/>
      <w:szCs w:val="28"/>
    </w:rPr>
  </w:style>
  <w:style w:type="paragraph" w:styleId="Podpis1" w:customStyle="1">
    <w:name w:val="Podpis1"/>
    <w:basedOn w:val="Normal"/>
    <w:qFormat/>
    <w:pPr>
      <w:suppressLineNumbers/>
      <w:spacing w:before="120" w:after="120"/>
    </w:pPr>
    <w:rPr>
      <w:i/>
      <w:iCs/>
    </w:rPr>
  </w:style>
  <w:style w:type="paragraph" w:styleId="Gwka" w:customStyle="1">
    <w:name w:val="Header"/>
    <w:basedOn w:val="Standard"/>
    <w:pPr>
      <w:keepNext/>
      <w:spacing w:before="240" w:after="120"/>
    </w:pPr>
    <w:rPr>
      <w:rFonts w:ascii="Arial" w:hAnsi="Arial" w:eastAsia="Microsoft YaHei"/>
      <w:sz w:val="28"/>
      <w:szCs w:val="28"/>
    </w:rPr>
  </w:style>
  <w:style w:type="paragraph" w:styleId="Annotationtext">
    <w:name w:val="annotation text"/>
    <w:basedOn w:val="Normal"/>
    <w:link w:val="TekstkomentarzaZnak"/>
    <w:uiPriority w:val="99"/>
    <w:qFormat/>
    <w:rsid w:val="00e76022"/>
    <w:pPr>
      <w:widowControl/>
      <w:suppressAutoHyphens w:val="false"/>
      <w:textAlignment w:val="auto"/>
    </w:pPr>
    <w:rPr>
      <w:rFonts w:eastAsia="Times New Roman" w:cs="Times New Roman"/>
      <w:sz w:val="20"/>
      <w:szCs w:val="20"/>
      <w:lang w:val="fi-FI" w:eastAsia="en-US" w:bidi="ar-SA"/>
    </w:rPr>
  </w:style>
  <w:style w:type="paragraph" w:styleId="ListParagraph">
    <w:name w:val="List Paragraph"/>
    <w:basedOn w:val="Normal"/>
    <w:link w:val="AkapitzlistZnak"/>
    <w:uiPriority w:val="34"/>
    <w:qFormat/>
    <w:rsid w:val="00e76022"/>
    <w:pPr>
      <w:widowControl/>
      <w:suppressAutoHyphens w:val="false"/>
      <w:spacing w:before="0" w:after="0"/>
      <w:ind w:left="720" w:hanging="0"/>
      <w:contextualSpacing/>
      <w:textAlignment w:val="auto"/>
    </w:pPr>
    <w:rPr>
      <w:rFonts w:eastAsia="Times New Roman" w:cs="Times New Roman"/>
      <w:lang w:bidi="ar-SA"/>
    </w:rPr>
  </w:style>
  <w:style w:type="paragraph" w:styleId="Style41" w:customStyle="1">
    <w:name w:val="Style 4"/>
    <w:basedOn w:val="Normal"/>
    <w:link w:val="CharStyle5"/>
    <w:qFormat/>
    <w:rsid w:val="00e76022"/>
    <w:pPr>
      <w:shd w:val="clear" w:color="auto" w:fill="FFFFFF"/>
      <w:suppressAutoHyphens w:val="false"/>
      <w:spacing w:lineRule="exact" w:line="456" w:before="480" w:after="0"/>
      <w:ind w:hanging="360"/>
      <w:textAlignment w:val="auto"/>
    </w:pPr>
    <w:rPr>
      <w:rFonts w:eastAsia="Times New Roman" w:cs="Times New Roman"/>
      <w:sz w:val="21"/>
      <w:szCs w:val="21"/>
      <w:lang w:eastAsia="pl-PL" w:bidi="ar-SA"/>
    </w:rPr>
  </w:style>
  <w:style w:type="paragraph" w:styleId="BalloonText">
    <w:name w:val="Balloon Text"/>
    <w:basedOn w:val="Normal"/>
    <w:link w:val="TekstdymkaZnak"/>
    <w:uiPriority w:val="99"/>
    <w:semiHidden/>
    <w:unhideWhenUsed/>
    <w:qFormat/>
    <w:rsid w:val="00e76022"/>
    <w:pPr/>
    <w:rPr>
      <w:rFonts w:ascii="Tahoma" w:hAnsi="Tahoma"/>
      <w:sz w:val="16"/>
      <w:szCs w:val="14"/>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Application>LibreOffice/5.2.1.2$Windows_x86 LibreOffice_project/31dd62db80d4e60af04904455ec9c9219178d620</Application>
  <Pages>7</Pages>
  <Words>3146</Words>
  <Characters>21029</Characters>
  <CharactersWithSpaces>24759</CharactersWithSpaces>
  <Paragraphs>85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2017-04-12T11:21:00Z</dcterms:created>
  <dc:creator>Dell</dc:creator>
  <dc:description/>
  <dc:language>pl-PL</dc:language>
  <cp:lastModifiedBy/>
  <cp:lastPrinted>2016-04-07T12:39:00Z</cp:lastPrinted>
  <dcterms:modified xsi:type="dcterms:W3CDTF">2018-07-02T10:30:17Z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