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drawing>
          <wp:inline distT="0" distB="0" distL="0" distR="0">
            <wp:extent cx="5751830" cy="44323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left"/>
        <w:rPr/>
      </w:pPr>
      <w:r>
        <w:rPr>
          <w:sz w:val="22"/>
          <w:szCs w:val="22"/>
        </w:rPr>
        <w:t>Oznaczenie sprawy: 11/ZP/2018</w:t>
      </w:r>
    </w:p>
    <w:p>
      <w:pPr>
        <w:pStyle w:val="Normal"/>
        <w:jc w:val="left"/>
        <w:rPr/>
      </w:pPr>
      <w:r>
        <w:rPr>
          <w:sz w:val="22"/>
          <w:szCs w:val="22"/>
        </w:rPr>
        <w:t xml:space="preserve">Dotyczy: </w:t>
      </w:r>
      <w:r>
        <w:rPr>
          <w:rFonts w:cs="Arial"/>
          <w:b w:val="false"/>
          <w:bCs w:val="false"/>
          <w:sz w:val="22"/>
          <w:szCs w:val="22"/>
        </w:rPr>
        <w:t xml:space="preserve">Dostawa aparatury  medycznej dla Oddziału Anestezjologii i Intensywnej Terapii w Samodzielnym Publicznym Zespole Opieki Zdrowotnej                     w Proszowicach </w:t>
      </w:r>
      <w:r>
        <w:rPr>
          <w:b w:val="false"/>
          <w:bCs w:val="false"/>
          <w:sz w:val="22"/>
          <w:szCs w:val="22"/>
        </w:rPr>
        <w:t>w celu realizacji  Projektu : Modernizacja pomieszczeń po „starym” bloku operacyjnym wraz z wyposażeniem i zakupem aparatury medycznej dla potrzeb Oddziału Anestezjologii i Intensywnej Terapii w Samodzielnym Publicznym Zespole Opieki Zdrowotnej w Proszowicach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w ramach Regionalnego Programu Operacyjnego Województwa Małopolskiego na lata 2014 – 2020, Oś Priorytetowa 12. Infrastruktura Społeczna, Działanie 12.1 Infrastruktura ochrony zdrowia, Poddziałanie 12.1.3 Infrastruktura ochrony zdrowia o znaczeniu subregionalnym – spr.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5" w:type="dxa"/>
          <w:bottom w:w="0" w:type="dxa"/>
          <w:right w:w="70" w:type="dxa"/>
        </w:tblCellMar>
      </w:tblPr>
      <w:tblGrid>
        <w:gridCol w:w="792"/>
        <w:gridCol w:w="4485"/>
        <w:gridCol w:w="1336"/>
        <w:gridCol w:w="2402"/>
        <w:gridCol w:w="2401"/>
        <w:gridCol w:w="2563"/>
      </w:tblGrid>
      <w:tr>
        <w:trPr>
          <w:trHeight w:val="611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Okres Gwarancji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Medicavera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Dahlhausen Group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Majowa 2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71-374 Szczecin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3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35 640,00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25 miesiący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4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7 020,00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25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Fresenius Medical Care Polska S. A.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Krzywa 13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60-118 Poznań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10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97 200,00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25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Maquet Polska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Osmańska 14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02-823 Warszawa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11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55 944,00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highlight w:val="yellow"/>
              </w:rPr>
            </w:pPr>
            <w:r>
              <w:rPr/>
              <w:t>36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WALMED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Ptaków Leśnych 73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05-500 Jastrzębie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11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57 999,24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31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Zakład Techniki Medycznej „TECH-MED”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ul. Piękna 13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85-303 Bydgoszcz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13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19 616,40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31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KONKRET 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Dagmara Fik, Marcin Mazurkiewicz Sp. Jawna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ul. Dworcowa 15a,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86-200 Chełmno 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6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121 653,36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25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12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13 284,00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25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UNIWAG Andrzej Starzyk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Półłanki 31a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30-740 Kraków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14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6 372,00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 miesiące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Biameditek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Elewatorska 58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15-620 Białystok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236 237,04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31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11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40 099,00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31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bookmarkStart w:id="0" w:name="__DdeLink__3791_763379063"/>
            <w:r>
              <w:rPr/>
              <w:t>PROMED S. A.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Działkowa 56</w:t>
            </w:r>
          </w:p>
          <w:p>
            <w:pPr>
              <w:pStyle w:val="Normal"/>
              <w:snapToGrid w:val="false"/>
              <w:jc w:val="center"/>
              <w:rPr/>
            </w:pPr>
            <w:bookmarkStart w:id="1" w:name="__DdeLink__3791_763379063"/>
            <w:bookmarkEnd w:id="1"/>
            <w:r>
              <w:rPr/>
              <w:t>02-234 Warszawa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239 220,00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 miesiące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Aesculap Chifa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Tysiąclecia 14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64-300 Nowy Tomyśl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5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67 801,32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36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Alpha Diagnostic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Taśmowa 1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02-677 Warszawa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9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33 480,00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25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B.BRAUN AVITUM POLAND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Sienkiewicza 3</w:t>
            </w:r>
          </w:p>
          <w:p>
            <w:pPr>
              <w:pStyle w:val="Normal"/>
              <w:snapToGrid w:val="false"/>
              <w:jc w:val="center"/>
              <w:rPr/>
            </w:pPr>
            <w:bookmarkStart w:id="2" w:name="__DdeLink__1754_1577801916"/>
            <w:bookmarkEnd w:id="2"/>
            <w:r>
              <w:rPr/>
              <w:t>64-300 Nowy Tomyśl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10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84 506,76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 miesiące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MEDIMA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Al. Jerozolimskie 200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 xml:space="preserve">02-486 Warszawa 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5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58 319,73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36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TRIMED Sp. z o. o.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ul. Radzikowskiego 126/14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31-315 Kraków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805" w:hRule="atLeast"/>
          <w:cantSplit w:val="true"/>
        </w:trPr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Pakiet 2</w:t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99 900,00</w:t>
            </w:r>
          </w:p>
        </w:tc>
        <w:tc>
          <w:tcPr>
            <w:tcW w:w="2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31 miesięcy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Do 30 dni</w:t>
            </w:r>
          </w:p>
        </w:tc>
        <w:tc>
          <w:tcPr>
            <w:tcW w:w="2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4 tygodnie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14.05.2018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…………………………………………………………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>...</w:t>
      </w:r>
    </w:p>
    <w:p>
      <w:pPr>
        <w:pStyle w:val="Normal"/>
        <w:ind w:left="0" w:right="0" w:hanging="0"/>
        <w:jc w:val="center"/>
        <w:rPr>
          <w:rFonts w:ascii="Tahoma" w:hAnsi="Tahoma"/>
          <w:b/>
          <w:b/>
          <w:bCs/>
          <w:i/>
          <w:i/>
          <w:iCs w:val="false"/>
        </w:rPr>
      </w:pPr>
      <w:r>
        <w:rPr>
          <w:rFonts w:ascii="Tahoma" w:hAnsi="Tahoma"/>
          <w:b/>
          <w:bCs/>
          <w:i/>
          <w:iCs w:val="false"/>
        </w:rPr>
      </w:r>
    </w:p>
    <w:p>
      <w:pPr>
        <w:pStyle w:val="Normal"/>
        <w:rPr/>
      </w:pPr>
      <w:r>
        <w:rPr>
          <w:rFonts w:cs="Tahoma" w:ascii="Tahoma" w:hAnsi="Tahoma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i/>
          <w:iCs w:val="false"/>
          <w:sz w:val="18"/>
          <w:szCs w:val="18"/>
        </w:rPr>
        <w:t xml:space="preserve">(data i podpis kierownika zamawiającego </w:t>
        <w:br/>
        <w:t xml:space="preserve">                                                                                                                                                                     lub osoby upoważnionej)</w:t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ahoma" w:hAnsi="Tahoma" w:cs="Tahoma"/>
          <w:i/>
          <w:i/>
          <w:iCs w:val="false"/>
          <w:sz w:val="18"/>
          <w:szCs w:val="18"/>
        </w:rPr>
      </w:pPr>
      <w:r>
        <w:rPr>
          <w:rFonts w:cs="Tahoma" w:ascii="Tahoma" w:hAnsi="Tahoma"/>
          <w:i/>
          <w:iCs w:val="false"/>
          <w:sz w:val="18"/>
          <w:szCs w:val="18"/>
        </w:rPr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1"/>
          <w:szCs w:val="21"/>
        </w:rPr>
      </w:pPr>
      <w:r>
        <w:rPr>
          <w:rFonts w:cs="Tahoma"/>
          <w:i w:val="false"/>
          <w:iCs w:val="false"/>
          <w:sz w:val="21"/>
          <w:szCs w:val="21"/>
        </w:rPr>
        <w:t>Sporządził:</w:t>
      </w:r>
    </w:p>
    <w:p>
      <w:pPr>
        <w:pStyle w:val="Normal"/>
        <w:rPr/>
      </w:pPr>
      <w:r>
        <w:rPr>
          <w:rFonts w:cs="Tahoma"/>
          <w:i w:val="false"/>
          <w:iCs w:val="false"/>
          <w:sz w:val="21"/>
          <w:szCs w:val="21"/>
        </w:rPr>
        <w:t>Marcin Kordecki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2609</TotalTime>
  <Application>LibreOffice/5.2.1.2$Windows_x86 LibreOffice_project/31dd62db80d4e60af04904455ec9c9219178d620</Application>
  <Pages>4</Pages>
  <Words>475</Words>
  <Characters>2379</Characters>
  <CharactersWithSpaces>3241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2018-05-14T13:09:06Z</cp:lastPrinted>
  <dcterms:modified xsi:type="dcterms:W3CDTF">2018-05-16T10:05:46Z</dcterms:modified>
  <cp:revision>215</cp:revision>
  <dc:subject/>
  <dc:title>oznaczenie sprawy </dc:title>
</cp:coreProperties>
</file>