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Oznaczenie sprawy: 11/ZP/2018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Pakiet 11 – parametry techniczne.</w:t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Respirator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50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111"/>
        <w:gridCol w:w="4346"/>
        <w:gridCol w:w="2482"/>
        <w:gridCol w:w="1710"/>
      </w:tblGrid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WARUNKI OGÓLNE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Respirator do terapii niewydolności oddechowej różnego typu do stosowania na różnych oddziałach w tym między innymi na oddziale intensywnej terapii, sali wybudzeń,  szpitalnym oddziale ratunkowym i w transporcie wewnątrzszpitalnym.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Respirator dla dzieci i dorosłych o wadze od min. 2 kg do min. 250 kg.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ZASILANIE RESPITATORA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Zasilanie w tlen ze źródła sprężonych gazów o zakresie ciśnienia min. 2-6 bar.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Zasilanie w powietrze z wbudowanej w respirator turbiny powietrza.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Przewód zasilania tlenowego o dł. min. 3 m. ze złączem dostosowanym do instalacji gazowej.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Układ mieszania gazów  oddechowych elektroniczno - pneumatyczny z płynną regulacją. 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Automatyczna kompensacja przepływu w przypadku nagłego zaniku podaży tlenu tak aby pacjent otrzymywał zaprogramowaną objętość oddechową.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Zasilanie z wewnętrznej baterii na min. 90 minut pracy przy wszystkich rodzajach trybów i zakresach parametrów, w razie konieczności dłuższego transportu istnieje możliwość dołożenia dodatkowego modułu baterii bezpośrednio do obudowy respiratora bez udziału serwisu i bez użycia narzędzi.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Napięcie zasilania AC 230 V ,</w:t>
            </w:r>
            <w:r>
              <w:rPr>
                <w:rFonts w:eastAsia="Symbol" w:cs="Symbol" w:ascii="Symbol" w:hAnsi="Symbol"/>
                <w:sz w:val="20"/>
                <w:szCs w:val="20"/>
              </w:rPr>
              <w:t>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10%, 50 Hz.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zasilania 12 V w razie awarii zasilania głównego i wyczerpania akumulatorów.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10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RODZAJE WENTYLACJI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Wentylacja z zadaną objętością.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Wentylacja z  zadanym ciśnieniem.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Wentylacja ze wspomaganiem oddechu spontanicznego ciśnieniem.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rozbudowy o wentylację ze wspomaganiem oddechu spontanicznego objętością.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Wentylacja awaryjna przy niewydolnej wentylacji wspomaganej.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Synchroniczna przerywana wentylacja obowiązkowa SIMV ze wspomaganiem ciśnieniowym objętościowo kontrolowana oraz ciśnieniowo kontrolowana.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Wentylacja typu  AutoFlow lub APV lub VC+ lub PRVC.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rozbudowy o wentylację dwupoziomową typu BiLevel lub Bi-Vent lub BiPAP lub DuoPAP.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Funkcja z automatycznym przełączaniem pomiędzy trybem wentylacji kontrolowanej do trybu wentylacji wspomaganej i odwrotnie w zależności od inicjacji przez pacjenta oddechu spontanicznego i bez aktywacji alarmów – Automode.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Wyzwalanie oddechu przepływem regulowane ręcznie.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Wyzwalanie oddechu ciśnieniem regulowane ręcznie.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Wyzwalanie oddechu ciśnieniem regulowane w szerokim zakresie min -1 do -20 cmH2O.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Wdech manualny.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Bez oceny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Wbudowany system nebulizacji aktywowany i regulowany z pozycji ekranu respiratora.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regulacji kończenia fazy wdechowej w zakresie min. 1-65 % przepływu szczytowego.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Funkcja powrotu do poprzedniego trybu i ustawień wentylacji.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Funkcja natlenowania.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Funkcja wstrzymania na wdechu do min. 30 sekund.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Funkcja wstrzymania na wydechu.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Automatyczna kompensacja podatności układu oddechowego z możliwością włączania i wyłączania funkcji w trakcie wentylacji.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Funkcja natlenowywania z regulowanym stężeniem tlenu  i automatycznego rozpoznawania odłączenia i podłączenia pacjenta przy czynności  odsysania z dróg oddechowych z zatrzymaniem pracy respiratora.</w:t>
            </w:r>
          </w:p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PARAMETRY NASTAWIANE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Częstość oddechów, minimalny zakres   </w:t>
            </w:r>
          </w:p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5 - 150 oddechów/min.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Objętość pojedynczego oddechu,   </w:t>
            </w:r>
          </w:p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minimalny zakres 20 – 2000 ml.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Regulowany stosunek wdechu do wydechu min. w zakresie 4:1 - 1:10 dla trybu VC i PC.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Regulowany czas wdechu minimalny zakres 0,1 do 5,0 sekund.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Stężenie tlenu w mieszaninie oddechowej regulowanie płynnie w zakresie 21-100%.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wdechowe PCV (minimalny zakres 1 – 80 cmH2O).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wdechowe PCV (regulacja w szerokim zakresie 0 – 95 cmH2O).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wspomagania PSV (minimalny zakres 1 - 80 cmH2O).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wspomagania PSV (regulacja w szerokim zakresie 0 – 95 cmH2O).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PEEP minimalny zakres  1 - 40 cmH2O.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PEEP regulacja w szerokim zakresie 1 – 50 cmH2O.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Programowalna przez użytkownika konfiguracja startowa respiratora wraz  z zakresami alarmowymi.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PARAMETRY WYŚWIETLANE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Kolorowy monitor o przekątnej minimum 12 cali i wysokiej rozdzielczości ekranu min. 1024x768 pikseli do obsługi respiratora poprzez ekran dotykowy i obrazowania parametrów, wraz z funkcją regulacji nachylenia monitora.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Obsługa respiratora i opisy w języku polskim.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Całkowita częstość oddychania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Częstość i wentylacja minutowa oddechów własnych pacjenta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Wdechowa i wydechowa objętość pojedynczego oddechu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Wdechowa i wydechowa  objętość całkowitej wentylacji minutowej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szczytowe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Średnie ciśnienie w układzie oddechowym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pauzy wdechowej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PEEP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Ciśnienie PEEPtotal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Podatność statyczna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29" w:hRule="atLeast"/>
        </w:trPr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Podatność dynamiczna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Opór wdechowy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Opór wydechowy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Praca oddechowa pacjenta (w formie cyfrowej).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5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P 0.1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Graficzna prezentacja krzywych dynamicznych : Ciśnienie / czas, Przepływ /czas, Objętość /czas.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Pętle oddechowe: Ciśnienie/objętość, Przepływ/objętość.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Możliwość jednoczesnej prezentacji przebiegów dynamicznych  i pętli oddechowych.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-4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Automatyczne ustawianie skali przy zapisie krzywych na monitorze.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auto" w:val="clear"/>
            <w:tcMar>
              <w:left w:w="-4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4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ALARMY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Braku zasilania w energię elektryczną.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Braku zasilania w tlen.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Objętości minutowej (wysokiej i niskiej).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Wysokiego ciśnienia w układzie pacjenta.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Bezdechu.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Stężenia tlenu w gazach wdechowych.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Niezdolności do pracy (uszkodzenia kontroli elektronicznej lub mechanicznej).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Kategorie alarmów według ważności.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Pamięć trendów parametrów min. 72 godziny.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ind w:left="72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WYPOSAŻENIE DODATKOWE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Układ pomiarowy przepływu umieszczony w obrębie obudowy respiratora (elektroniczny – wielorazowego użytku – możliwość wyjęcia zastawki wydechowej wraz z czujnikiem przepływu bez użycia narzędzi oraz możliwość czyszczenia zastawki wydechowej wraz z czujnikiem przepływu w myjce automatycznej).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Odporny na uszkodzenia system pomiaru przepływu – pomiar ultradźwiękowy.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 – 10 pkt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Zabezpieczenie przed przypadkową zmianą parametrów wentylacji.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Autotest aparatu sprawdzający poprawność działania elementów pomiarowych, szczelność i podatność układu oddechowego.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Respirator przeznaczony do pracy ze standardowymi dwuramiennymi jednorazowymi i wielorazowymi układami oddechowymi od różnych producentów.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Płucko testowe wielokrotnego użytku z możliwością sterylizacji w autoklawie.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2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LibreOffice/5.2.1.2$Windows_x86 LibreOffice_project/31dd62db80d4e60af04904455ec9c9219178d620</Application>
  <Pages>5</Pages>
  <Words>1130</Words>
  <Characters>6682</Characters>
  <CharactersWithSpaces>7677</CharactersWithSpaces>
  <Paragraphs>293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2018-04-23T11:00:27Z</cp:lastPrinted>
  <dcterms:modified xsi:type="dcterms:W3CDTF">2018-04-27T08:30:49Z</dcterms:modified>
  <cp:revision>20</cp:revision>
  <dc:subject/>
  <dc:title/>
</cp:coreProperties>
</file>