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Pakiet 1 – parametry techniczne.</w:t>
      </w:r>
    </w:p>
    <w:tbl>
      <w:tblPr>
        <w:tblW w:w="9638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614"/>
        <w:gridCol w:w="6187"/>
        <w:gridCol w:w="2837"/>
      </w:tblGrid>
      <w:tr>
        <w:trPr/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6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Kardiomonitor wyposażony w EKG, ST, Arytmie, Resp, SpO2, NIBP, Temp x 2,  IBP x 2 , CO2, CO,  ICP  – 6 szt. </w:t>
            </w:r>
          </w:p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highlight w:val="white"/>
              </w:rPr>
              <w:t>oraz centrala monitorująca – 1 szt.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Wypełnia Wykonawca</w:t>
            </w:r>
          </w:p>
        </w:tc>
      </w:tr>
      <w:tr>
        <w:trPr/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Producent – nazwa i kraj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Nazwa i typ/model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Rok produkcji  ( nie wcześniej niż 2018 r.)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Opis przedmiotu zamówienia</w:t>
      </w:r>
    </w:p>
    <w:tbl>
      <w:tblPr>
        <w:tblW w:w="9641" w:type="dxa"/>
        <w:jc w:val="left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1"/>
        <w:gridCol w:w="4548"/>
        <w:gridCol w:w="2607"/>
        <w:gridCol w:w="1814"/>
      </w:tblGrid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Parametry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Wypełnia Wykonawca</w:t>
            </w:r>
          </w:p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TAK/ NIE/ opis</w:t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Monitor zbudowany w oparciu o 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ły pomiarowe przenoszone między monitorami, odłączane i podłączane w sposób zapewniający automatyczną zmianę konfiguracji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ekranu, uwzgl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ędniającą pojawienie się odpowiednich parametrów, bez zakłócania pracy monitora. Jednoczesne monitorowanie wszystkich wymaganych parametrów na każdym stanowisku.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Rama 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łów pomiarowych w obudowie kardiomonitora (brak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dodatkowych element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stanowiska pomiarowego)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 obudowie monitora min. 2 miejsca na 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ły dodatkowe (CO2, rzut serca) z możliwością podłączenia dodatkowej ramy mieszczącej dodatkowe moduły pomiarowe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Obs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ługa modułów pomiarowych (włączanie i wyłączanie pomiarów poszczególnych parametrów) w wygodnym interfejsie graficznym (z obrazkowym przedstawieniem każdego modułu, akcesorium pomiarowego z informacją o jego umiejscowieniu w monitorze/ramie modułów)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Bez oceny 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Monitor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żony w ekran kolorowy z możliwością konfiguracji ekranu oraz prezentacji przynajmniej ośmiu krzywych. Przekątna ekranu min. 15” (rozdzielczość min. 1024 x 768) ze sterowaniem dotykowym, zapewniający prezentację monitorowanych param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etr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życiowych pacjenta, interaktywne sterowanie pomiarami (takie jak ustawianie granic alarmowych, uruchamianie pomiarów, wybór sposobu wyświetlania).</w:t>
              <w:br/>
              <w:t>Pod ekranem umieszczone dodatkowe przyciski funkcyjne pozwalające na m. in. wyciszenie alarmu, uruchomie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nie pomiaru NIBP, zamro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żenie krzywych na ekranie.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Oprogramowanie kardiomonitora pozwala na ustawienie (w zale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żności od aktualnych potrzeb) różnych konfiguracji ekranu, różniących się rozmieszczeniem i wielkością elementów.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ść zaprogramowania minimum następujących konfiguracji: ekran dużych liczb (podzielony na cztery elementy), ekran podstawowych parametrów życiowych, ekran trendów obok krzywych, ekran OxyCRG oraz ekran 12 odprowadzeń EKG.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Urz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ądzenie musi posiadać możliwość uruchomienia trybu nocnego (wygaszony ekran, podświetlenia klawiszy, obniżona głośność alarmu, brak sygnału pulsu).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Oprogramowanie kardiomonitora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żone w kalkulatory medyczne: (min. obliczenia wentylacji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, hemodynamiczne, utlenowania, lekowe, nerkowe).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żliwość rozbudowy kardiomonitora o oprogramowanie analizujące 12 odprowadzeń EKG, pozwalające na automatyczną analizę z diagnostycznym podsumowaniem.</w:t>
            </w:r>
          </w:p>
          <w:p>
            <w:pPr>
              <w:pStyle w:val="Normal"/>
              <w:rPr>
                <w:rFonts w:ascii="Times New Roman" w:hAnsi="Times New Roman" w:eastAsia="Helvetica" w:cs="Helvetica"/>
                <w:color w:val="000000"/>
                <w:lang w:eastAsia="pl-PL"/>
              </w:rPr>
            </w:pPr>
            <w:r>
              <w:rPr>
                <w:rFonts w:eastAsia="Helvetica" w:cs="Helvetica" w:ascii="Times New Roman" w:hAnsi="Times New Roman"/>
                <w:color w:val="000000"/>
                <w:lang w:eastAsia="pl-PL"/>
              </w:rPr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łącze USB pozwalające na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 pod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łączenie klawiatury, myszy, lub pamięci USB w celu przenoszenia konfiguracji.</w:t>
              <w:br/>
              <w:t>W urządzeniu gniazdo kart pamięci (SD) do przenoszenia danych z monitorowania pacjenta.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Trendy tabelaryczne i graficzne z ostatnich min. 96 godzin monitorowania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Monitor z funkcj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 oceny stanu pacjenta łączącą parametry odczytane przez czujniki pomiarowe (MEWS)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Zasilanie awaryjne zapewniaj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ące monitorowanie min.: EKG, SpO2, Oddech, NIBP,  IBP, Temp, przez co najmniej 120 min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ut w przypadku zaniku zasilania w sieci elektrycznej, z automatycznym prze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łączeniem się na zasilanie awaryjne.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System cichego, konwekcyjnego ch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łodzenia bez użycia wewnętrznych wentylatorów.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Alarmy 3-stopniowe (wizualne i akustyczne) wszystkich parametr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z klasyfikacją priorytetu alarmu, z możliwością zawieszenia czasowego.</w:t>
              <w:br/>
              <w:br/>
              <w:t>Rejestracja zdarzeń alarmowych.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Wizualne wska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źniki alarmowe dla alarmów fizjologicznych oraz technicznyc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h rozr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óżniane kolorystycznie oraz rozdzielone fizycznie (w osobnych obudowach) dla łatwiejszej identyfikacji.</w:t>
              <w:br/>
              <w:br/>
              <w:t>Wizualny wskaźnik wyciszenia alarmów jako osobny element na obudowie monitora.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Monitor dostosowany do pracy w systemie centralnego monitorowania,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żony w kartę sieciową do połączenia ze stacją centralnego monitorowania.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żliwość rozbudowy monitora o moduł Wi-Fi, zapewniający bezprzewodową komunikację z centralą pielęgniarską.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Monitor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żony w moduł transportowy, pozwalający na ciągłe, nieprzerwane (pełna ciągłość danych z monitorowania na stanowisku stacjonarnym oraz w transporcie) monitorowanie co najmniej EKG (x5), SpO2, NIBP, Temp (x2) podczas transportu pacjenta. </w:t>
              <w:br/>
              <w:t>Przyg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otowanie pacjenta do transportu nie wymaga pod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łączania i/lub odłączania przewodów łączących monitor z pacjentem.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żliwość zastosowania opcjonalnego modułu pozwalającego na pomiar CO2 w transporcie, który pozwala na kontynuację (nieprzerwaną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 prac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ę) pomiarów podczas pracy na stanowisku monitorowania, w transporcie i w momencie odłączania/podłączania modułu transportowego.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Masa 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łu transportowego poniżej 1,5 kg (z akumulatorem), zasilanie bateryjne na minimum 4 godziny pracy.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 transportowy wyposażony w ekran dotykowy o przekątnej min. 5” (z dedykowanymi przyciskami do m. in. wyciszenia alarmu oraz startu pomiaru NIBP, umieszczonymi poza ekranem)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 transportowy wyposażony w uchwyt do przenosze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nia (bez konieczno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ści odłączania go w przypadku podłączania modułu do ekranu głównego kardiomonitora).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Uchwyt zamocowany na sta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łe: 10pkt</w:t>
              <w:br/>
              <w:t>Uchwyt odłączany: 0pkt.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ł transportowy z własnym ekranem, przystosowany do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transportu wewn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ątrzszpitalnego oraz poza-szpitalnego, odporny na zachlapania (min. IPX3), pozwalający na komunikację bezprzewodową ze stacją centralną.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min. IPX4 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– 10pkt</w:t>
              <w:br/>
              <w:br/>
              <w:t>IPX3 – 0pkt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 transportowy odporny na upadki z wysokości powyżej 1m,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– 10 pkt</w:t>
              <w:br/>
              <w:t>NIE – 0pkt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 transportowy wyposażony w złącze USB pozwalający na podłączenie klawiatury, myszy lub pamięci USB w celu przeniesienia danych monitorowania pacjenta do komputera PC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 transportowy z zaimplementowa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 funkcją oceny stanu pacjenta łączącą parametry odczytane przez czujniki pomiarowe (MEWS)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– 10 pkt</w:t>
              <w:br/>
              <w:t>NIE – 0pkt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żliwość podłączenia ekranu powielającego do kardiomonitora.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Dost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ępne złącza analogowe i cyfrowe umożliwiające podłączenie dwóch ekranów różnych typów.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Pomiar EKG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Pomiar EKG. Monitorowania przy pomocy minimum 3 elektrod. 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żliwość monitorowania 3,7,12 odprowadzeń EKG - wyświetlanie do 12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 odprowadze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ń jednocześnie przy zastosowaniu odpowiedniego kabla pomiarowego.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Detekcja sygna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łu stymulatora serca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Monitorowanie cz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ęstości oddechu metodą impedancyjną (wartości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cyfrowe i krzywa), z 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żliwością dokonania przez użytkownika ręcznej zmiany elektrod odniesienia jeżeli rozmieszczenie elektrod tego wymaga.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Pomiar saturacji i t</w:t>
            </w:r>
            <w:r>
              <w:rPr>
                <w:rFonts w:eastAsia="Helvetica" w:cs="Helvetica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ętna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Pomiar wysycenia hemoglobiny tlenem w zakresie min. 0-100% i rozdzielczo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ścią 1%.</w:t>
              <w:br/>
              <w:t>Algorytm pomiarowy odporny na niską perfuzję, wstrząsy i artefakty ruchowe.</w:t>
              <w:br/>
              <w:t>Wyświetlane wartości cyfrowe saturacji i tętna oraz krzywa pletyzmograficzna.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Pomiar ci</w:t>
            </w:r>
            <w:r>
              <w:rPr>
                <w:rFonts w:eastAsia="Helvetica" w:cs="Helvetica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śnienia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Ci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śnienie tętnicze krwi metodą nieinwazyjną, tryb pracy ręczny i automatyczny z programowaniem odstępów między pomiarami min. od 1 minuty do 480 minut.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TAK, d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łuższy czas – 5pkt</w:t>
              <w:br/>
              <w:t>TAK, do 480 minut – 0 pkt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Zakres pomiaru ci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śnienia w mankiecie min.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10-270mmHg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Inwazyjne monitorowanie ci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>śnienia krwi IBP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:</w:t>
              <w:br/>
              <w:t>- w minimum 2 kana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łach tętnicze i OCŻ.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Pomiar temperatury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Monitorowanie temperatury w minimum dw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óch torach pomiarowych w zakresie min. od  10 do 50 stopni C</w:t>
              <w:br/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pomiar temperatury obwodowej (powierzchniowej) i centralnej (wewn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ętrznej).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wy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świetlanie temperatury T1, T2 i różnicy temperatur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>ł pomiaru kapnografii:</w:t>
              <w:br/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Monitorowanie EtCO2, FiCO2, AwRR  w technologii strumienia bocznego,</w:t>
              <w:br/>
              <w:t>Pomiar EtCO2 w zakresie min. 0-150mmHg,</w:t>
              <w:br/>
              <w:t>Pomiar AwRR w zakresie min. od 2 odd./min do 150 odd./min,</w:t>
              <w:br/>
              <w:t>Mo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 xml:space="preserve">żliwość regulacji czasu próbkowania, </w:t>
              <w:br/>
              <w:t>Regulowany czas zwłoki alarmu bezdechu w zakresie min. 10-40s.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Modu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ł kompatybilny z ww. kardiomonitorami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  w postaci kostki wsuwanej do ramy urz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 xml:space="preserve">ądzenia,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realizuj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>ący pomiar ciśnienia wewnątrzczaszkowego (ICP)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. Przycisk zerowania przetwornika oraz przycisk wywo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łania menu parametru na ekranie monitora, dostępne na obudowie modułu. Moduł z możliwością przenoszeni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a pomi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ędzy monitorami (1 moduł na wszystkie kardiomonitory).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żliwość rozbudowy monitora o moduł pomiaru rzutu serca metodą termodylucji (C.O.)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br/>
              <w:t>Mierzone parametry min. CO, TB, TI</w:t>
              <w:br/>
              <w:t xml:space="preserve">Zakres pomiaru CO min. 0,1 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– 20l/min</w:t>
              <w:br/>
              <w:t>Zakres pomiaru temperat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ury krwi min. 23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°C - 40°C</w:t>
              <w:br/>
              <w:t>W zestawie:</w:t>
              <w:br/>
              <w:t>- Kabel do pomiaru rzutu serca</w:t>
              <w:br/>
              <w:t>- Sonda pomiaru temperatury (iniektatu do cewnika BD)</w:t>
              <w:br/>
              <w:t>- Obudowa sondy temperatury</w:t>
              <w:br/>
              <w:t>- Strzykawka kontrolna do iniektatu wyposażona w okrągłe uchwyty na palce (przy cylindrze i tłoku) pozwal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aj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ące na lepszą kontrolę przepływu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>żliwość rozbudowy monitora o moduł pomiaru rzutu serca metodą kardio-impedancji (ICG)</w:t>
              <w:br/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Mierzone parametry min. SV, HR, CO.</w:t>
              <w:br/>
              <w:t>Zakres pomiaru CO min. 0,1-30 l/min</w:t>
              <w:br/>
              <w:t>Zakres pomiaru HR min. 50-250 bpm z dok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ładnośc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i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ą min. ±2bpm</w:t>
              <w:br/>
              <w:t>W zestawie:</w:t>
              <w:br/>
              <w:t>- Kabel do pomiaru rzutu serca</w:t>
              <w:br/>
              <w:t>- Elektrody ICG 2 opakowania (po 4 pary elektrod)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>żliwość rozbudowy monitora o moduł pomiaru stężenia gazów anestetycznych realizujący pomiar w strumieniu bocznym.</w:t>
              <w:br/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Mierzone parametry i gazy min. HAL, ENV, ISO, SEV, DES, N20, CO2, O2 (opcja), MAC, AwRR</w:t>
              <w:br/>
              <w:t>Technologia odprowadzania wilgoci poprzez zastosowanie pu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łapki wodnej ze złączem Luer-Lock</w:t>
              <w:br/>
              <w:t>Możliwość pomiaru stężenia O2 metodą paramagnetyczną (opcja)</w:t>
              <w:br/>
              <w:t>W zestawie pułap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ka wodna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Elementy wyposa</w:t>
            </w:r>
            <w:r>
              <w:rPr>
                <w:rFonts w:eastAsia="Helvetica" w:cs="Helvetica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żenia każdego monitora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* kabel EKG do monitorowania 3 lub 5 odprowadze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ń (1szt.), w zestawie startowym min. 10 elektrod EKG.</w:t>
              <w:br/>
              <w:t>* wielorazowy czujnik na palec dla dorosłych typu klips wyposażony w harmonijko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we, zintegrowane z oboma cz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ęściami klipsa osłony przed dostępem światła z zewnątrz, zakłócającego pomiar w miejscach nasłonecznionych (1szt.)</w:t>
              <w:br/>
              <w:t>* wielorazowy czujnik na palec dla dorosłych, wykonany z silikonu (1szt.)</w:t>
              <w:br/>
              <w:t>* przewód ciśnieniowy oraz mankiety ciśn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ieniowe (3 szt. w rozmiarach okre</w:t>
            </w:r>
            <w:r>
              <w:rPr>
                <w:rFonts w:eastAsia="Helvetica" w:cs="Helvetica" w:ascii="Times New Roman" w:hAnsi="Times New Roman"/>
                <w:sz w:val="18"/>
                <w:szCs w:val="18"/>
                <w:lang w:eastAsia="pl-PL"/>
              </w:rPr>
              <w:t>ślonych przez użytkownika)</w:t>
              <w:br/>
              <w:t>* sonda do pomiaru temp. powierzchniowej dla dorosłych (1szt.)</w:t>
              <w:br/>
              <w:t>* kabel IBP (1 szt.)</w:t>
              <w:br/>
              <w:t>* Uchwyt ścienny lub stojak jezdny (do wyboru przez użytkownika) (1 szt.)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CENTRALA PIEL</w:t>
            </w:r>
            <w:r>
              <w:rPr>
                <w:rFonts w:eastAsia="Helvetica" w:cs="Helvetica" w:ascii="Times New Roman" w:hAnsi="Times New Roman"/>
                <w:b/>
                <w:bCs/>
                <w:sz w:val="18"/>
                <w:szCs w:val="18"/>
                <w:lang w:eastAsia="pl-PL"/>
              </w:rPr>
              <w:t>ĘGNIARSKA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monitoruj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ąca wyposażona w ekran LCD o przekątnej przynajmniej 22”, ze zintegrowanymi elementami składowymi w jednej obudowie (jednostka CPU w obudowie ekranu monitora centrali)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Obs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ługa centrali za pomocą klawiatury i myszy komputerowej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Obs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ługa za pomocą ekranu dotykowego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pozwalaj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ąca na rozbudowę o obsługę kolejnych stanowisk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(do 64) bez dodatkowych koszt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wynikających z konieczności zakupu licencji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Prezentacja graficzna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Wy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świetlanie okien z przebiegami dynamicznymi i parametrami jednocześnie do 32 pacjentów w oknie podglądu zbiorczego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Wy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świetlanie szczegółowego podglądu wybranego monitora, z funkcją wyboru wyświetlanych na ekranie centrali krzywych dynamicznych spośród wszystkich monitorowanych przez monitor parametrów życiowych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żliwość wyświetlania wartości parametrów przy użyciu dużych czcionek dla wszystkich lub wybranych monitorów w oknie zbiorczego podglądu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Alarmy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żona w 3-stopniowy system alarmów sygnalizowanych wizualnie i dźwięk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owo z identyfikacj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 łóżka, na którym wystąpił alarm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</w:t>
            </w:r>
            <w:r>
              <w:rPr>
                <w:rFonts w:eastAsia="Helvetica" w:cs="Helvetica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ółpraca z monitorami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z funkcj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ą zdalnej konfiguracji granic alarmowych w monitorze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z funkcj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ą zdalnej konfiguracji ustawień pomiaru NIBP –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mo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żliwość regulacji przynajmniej odstępu pomiędzy pomiarami ciśnienia w trybie automatycznym i uruchomienia pomiaru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Wprowadzanie danych pacjenta oraz granic alarmowych r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ęcznie z poziomu centrali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Pami</w:t>
            </w:r>
            <w:r>
              <w:rPr>
                <w:rFonts w:eastAsia="Helvetica" w:cs="Helvetica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ęć centrali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żona w pamięć trendów graficznych i tabelarycznych wszystkich parametrów wszystkich monitorowanych pacjentów z ostatnich 10 dni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żona w pamięć pełnych zapisów wybranych krzywych dynamicznych z ostatnich 72 godzin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żona w pamięć min. 120 zdarzeń alarmowych na każdego pacjenta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&gt; 500 zdarze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ń - 10pkt</w:t>
              <w:br/>
              <w:t>120-500 – 0pkt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żona w funkcje obliczania dawek leków i tabelę rozcieńczeń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Nieulotna pami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ęć historycznych danych monitorowania dostępna do momentu ręcznego usunięcia bazy danych.</w:t>
              <w:br/>
              <w:t>Powierzchnia dyskowa pozwalająca na zarchiwizowanie danych minimum 20 000 pacjentów.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20 000 – 29 999 pacjent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– 0pkt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≥30 000 pacjent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– 10pkt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Funkcja oblicze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ń natlenienia, obliczeń nerkowych i wentylacji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Raporty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Drukowanie raport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na drukarce laserowej formatu A4 i w postaci plików w formacie PDF:</w:t>
              <w:br/>
              <w:t>- krzywych dynamicznych Full Disclosure,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- zapami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ętanych zdarzeń alarmowych (z odcinkami krzywych dynamicznych), </w:t>
              <w:br/>
              <w:t>- tabeli alarmów,</w:t>
              <w:br/>
              <w:t>- trendów graficznych,</w:t>
              <w:br/>
              <w:t xml:space="preserve">- trendów tabelarycznych, </w:t>
              <w:br/>
              <w:t>- przeglądu NIBP,</w:t>
              <w:br/>
              <w:t>- obliczeń dawkowania leków i tabeli rozcieńczeń,</w:t>
              <w:br/>
              <w:t>- informacji o pacjencie.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żona w funkcję przygotowania statystyki monitorowania pacjenta pozwalającą na przedstawienie danych w formie graficznej i tabelarycznej.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Statystyki monitorowania obejmuj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 xml:space="preserve">ą min. prezentację wystąpienia poszczególnych arytmii (ilość),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przekroczenia prog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alarmowych (ilość wystąpień poniżej dolnego i powyżej górnego zaprogramowanego progu), wartość minimalną i maksymalną każdego parametru (z czasem zaistnienia) oraz średnią z całego okresu monitorowania pacjenta.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– 10 pkt</w:t>
              <w:br/>
              <w:t>NIE – 0 pk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W wyposa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żeniu laserowa drukarka sieciowa w formacie A4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Centrala przygotowana do integracji z systemem HIS bez dodatkowych koszt</w:t>
            </w:r>
            <w:r>
              <w:rPr>
                <w:rFonts w:eastAsia="Helvetica" w:cs="Helvetica" w:ascii="Times New Roman" w:hAnsi="Times New Roman"/>
                <w:color w:val="000000"/>
                <w:sz w:val="18"/>
                <w:szCs w:val="18"/>
                <w:lang w:eastAsia="pl-PL"/>
              </w:rPr>
              <w:t>ów (po stronie urządzenia).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" w:ascii="Times New Roman" w:hAnsi="Times New Roman" w:cstheme="minorHAnsi"/>
                <w:b/>
                <w:bCs/>
                <w:sz w:val="18"/>
                <w:szCs w:val="18"/>
                <w:lang w:eastAsia="pl-PL"/>
              </w:rPr>
              <w:t>MONITOR DO RZUTU SERCA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shd w:val="clear" w:color="auto" w:fill="FFFFFF"/>
              <w:ind w:right="72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Ocena hemodynamiczna układu krążenia metodą małoinwazyjną rozumianą jako:</w:t>
            </w:r>
          </w:p>
          <w:p>
            <w:pPr>
              <w:pStyle w:val="Normal"/>
              <w:shd w:val="clear" w:color="auto" w:fill="FFFFFF"/>
              <w:ind w:right="72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-bez użycia cewnika Swan-Ganza,</w:t>
            </w:r>
          </w:p>
          <w:p>
            <w:pPr>
              <w:pStyle w:val="Normal"/>
              <w:shd w:val="clear" w:color="auto" w:fill="FFFFFF"/>
              <w:ind w:right="72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- pomiar parametrów hemodynamicznych z jednego dostępu naczyniowego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- oraz met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odą: małoinwazyjną: drogą kaniulacji obwodowego naczynia tętniczego i żyły głównej górnej,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" w:cstheme="minorHAnsi"/>
              </w:rPr>
            </w:pPr>
            <w:r>
              <w:rPr>
                <w:rFonts w:cs="" w:cstheme="minorHAnsi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pomiar możliwy u pacjentów zaintubowanych i nie zaintubowanych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>Analiza kształtu fali ciśnienia tętniczego do ciągłego (w czasie rzeczywistym) oznaczania ciśnienia krwi, trendu rzutu serca, reakcji hemodynamicznych na podanie płynów i innych parametrów pochodnych z wykorzystaniem jednego dostępu naczyniowego.</w:t>
              <w:br/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Mierzone parametry:</w:t>
              <w:br/>
            </w: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CO trend – trend rzutu serca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, SV - objętość wyrzutowa, SVV - wahania objętości wyrzutowej, PPV - wahania ciśnienia tętniczego, SVR - systemowy opór naczyniowy, CPO - moc pojemności minutowej,  dPmx - kurczliwość lewej komory, </w:t>
              <w:br/>
              <w:t xml:space="preserve">HR częstość akcji serca, APsys Ciśnienie skurczowe, APdia Ciśnienie rozkurczowe, MAP średnie ciśnienie tętnicze, </w:t>
              <w:br/>
              <w:t>CVP ciśnienie żylne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Dla uzyskania maksymalnie dokładnego pomiaru ciągłego rzutu serca urządzenie posiadające dwie opcje kalibracji: </w:t>
              <w:br/>
              <w:t>- automatyczną rozumianą jako wygenerowanie szacunkowej wartości kalibracji na podstawie ciśnienia krwi oraz danych pacjenta,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- ręczną rozumianą jako w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pisanie w polu wprowadzania danych wartości referencyjnej CO, otrzymanej za pomocą innej technologii monitorowania hemodynamicznego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>Moduł ciągłego pomiaru rzutu serca z analizy kształtu fali ciśnienia tętniczego kalibrowany metodą termodylucji przezpłucnej, drogą kaniulacji obwodowego naczynia tętniczego i żyły głównej górnej.</w:t>
              <w:br/>
              <w:t>Mierzone parametry: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</w:rPr>
              <w:t>Rzut minutowy z analizy konturu fali tętna CO</w:t>
            </w: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  <w:vertAlign w:val="subscript"/>
              </w:rPr>
              <w:t>PC</w:t>
            </w: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</w:rPr>
              <w:t xml:space="preserve"> (CI</w:t>
            </w: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  <w:vertAlign w:val="subscript"/>
              </w:rPr>
              <w:t>PC</w:t>
            </w: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</w:rPr>
              <w:t>),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Ciśnienie tętnicze krwi skurczowe Apsys,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Ciśnienie tętnicze krwi rozkurczowe Apdia,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Ciśnienie tętnicze krwi średnie MAP,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Częstość skurczów serca HR,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Ośrodkowe ciśnienie żylne CVP,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Objętość wyrzutowa SV (SVI),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Samoistne wahania objętości wyrzutowej SVV,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Samoistne wahania ciśnienia tętna PPV,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Obwodowy opór naczyniowy SVR (SVRI),</w:t>
            </w:r>
          </w:p>
          <w:p>
            <w:pPr>
              <w:pStyle w:val="Annotationtext"/>
              <w:numPr>
                <w:ilvl w:val="0"/>
                <w:numId w:val="3"/>
              </w:numPr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cstheme="minorHAnsi"/>
                <w:sz w:val="18"/>
                <w:szCs w:val="18"/>
              </w:rPr>
              <w:t>Wskaźnik kurczliwości lewej komory dPmax,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color w:val="00000A"/>
                <w:sz w:val="18"/>
                <w:szCs w:val="18"/>
                <w:lang w:val="pl-PL"/>
              </w:rPr>
              <w:t>Rzut minutowy z termodylucji przezpłucnej tdCO (tdCI)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color w:val="00000A"/>
                <w:sz w:val="18"/>
                <w:szCs w:val="18"/>
              </w:rPr>
              <w:t xml:space="preserve">Wskaźnik funkcji serca CFI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color w:val="00000A"/>
                <w:sz w:val="18"/>
                <w:szCs w:val="18"/>
                <w:lang w:val="pl-PL"/>
              </w:rPr>
              <w:t>Całkowita objętość końcowo-rozkurczowa GEDV, (GEDI)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color w:val="00000A"/>
                <w:sz w:val="18"/>
                <w:szCs w:val="18"/>
                <w:lang w:val="pl-PL"/>
              </w:rPr>
              <w:t>Objętość pozanaczyniowej wody płucnej EVLW, (ELWI)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color w:val="00000A"/>
                <w:sz w:val="18"/>
                <w:szCs w:val="18"/>
                <w:lang w:val="pl-PL"/>
              </w:rPr>
              <w:t>Wskaźnik przepuszczalności naczyń płucnych PVPI,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color w:val="00000A"/>
                <w:sz w:val="18"/>
                <w:szCs w:val="18"/>
              </w:rPr>
              <w:t>Całkowita frakcja wyrzutowa GEF,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color w:val="00000A"/>
                <w:sz w:val="18"/>
                <w:szCs w:val="18"/>
              </w:rPr>
              <w:t>Moc użyteczna serca CP</w:t>
            </w:r>
          </w:p>
          <w:p>
            <w:pPr>
              <w:pStyle w:val="ListParagraph"/>
              <w:numPr>
                <w:ilvl w:val="0"/>
                <w:numId w:val="0"/>
              </w:numPr>
              <w:spacing w:before="0" w:after="0"/>
              <w:ind w:left="2880" w:hanging="0"/>
              <w:contextualSpacing/>
              <w:rPr>
                <w:rFonts w:cs="" w:asciiTheme="minorHAnsi" w:cstheme="minorHAnsi" w:hAnsiTheme="minorHAnsi"/>
                <w:color w:val="00000A"/>
              </w:rPr>
            </w:pPr>
            <w:r>
              <w:rPr>
                <w:rFonts w:cs="" w:asciiTheme="minorHAnsi" w:cstheme="minorHAnsi" w:hAnsiTheme="minorHAnsi"/>
                <w:color w:val="00000A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</w:rPr>
              <w:t>Objętość krwi krążącej w klatce piersiowej ITBV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bottom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 xml:space="preserve">Urządzenie umożliwiające rozszerzenia o moduł ciągłego (w czasie rzeczywistym) pomiaru saturacji krwi żylnej z żyły głównej górnej za pomocą refleksyjnego czujnika światłowodowego zakładanego do istniejącego cewnika CVC. 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Mierzone parametry ScvO2 - saturacja krwi żylnej z żyły głównej górnej, DO2 – dostarczenie tlenu, VO2 – konsumpcja tlenu, O2ER -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współczynnik ekstrakcji tlenu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>Urządzenie umożliwiające rozbudowę o pomiar densytometryczny tętna do określania stężenia zieleni indocyjaninowej, wskaźnika stosowanego do oceny ogólnej czynności wątroby i/lub perfuzji otrzewnej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Dane pomiarowe wyświetlane na min. 8” ekranie o wysokiej rozdzielczości – min. 800 x 480 pixel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>Wyświetlanie rzeczywistej krzywej ciśnienia tętniczego (AP) Wyświetlanie wartości liczbowych częstości akcji serca, ciśnienia tętniczego skurczowego i rozkurczowego. Wartość średnia ciśnienia tętniczego wyświetlana w nawiasie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Obsługa monitora poprzez ekran dotykowy, klawisze funkcyjne, oprogramowanie w języku polskim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Wybór sposobu prezentacji danych pomiarowych: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Ekran krzywej ciśnienia w czasie rzeczywistym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, stałe wyświetlanie krzywej ciśnienia tętniczego zawierające znacznik skurczowego ciśnienia tętniczego. Możliwość jednoczesnego, ciągłego wyświetlania krzywej ośrodkowego ciśnienia żylnego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Ekran pola parametrów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 – wyświetlanie do dziewięciu parametrów w trzech polach parametrów. Pod parametrem wyświetlany czas jaki upłynął od ostatniego pomiaru metoda termodylucji lub od ostatniej kalibracji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 xml:space="preserve">. 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>Wyświetlanie wartości pomiarów, a także granic alarmów. Możliwość dowolnej zamiany wszystkich wyświetlanych parametrów indeksowanych na bezwzględne i z bezwzględnych na indeksowane.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 xml:space="preserve">Ekran przeglądu parametrów z systemem sygnalizacji świetlnej,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Przedstawienie bieżących wartości wszystkich mierzonych parametrów, orientacja ikon żółtych i czerwonych wskazuje, czy wartość parametru jest powyżej czy poniżej zakresu normalnego.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Ekran SpiderVision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 dynamiczne przedstawianie wszystkich parametrów ciągłych, dowolny wybór od 3 do siedmiu ilości ramion pająka oraz wyświetlanych parametrów, d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iagram wyświetlany w kolorze zielonym do czasu, aż wyświetlane parametry pozostają w zakresie wartości normalnych lub docelowych, diagram wyświetlany w kolorze żółtym, gdy jeden z wyświetlanych parametrów wykracza poza zakres wartości normalnych lub docelowych, diagram wyświetlany w kolorze czerwonym, gdy dwa lub więcej z wyświetlanych parametrów wykracza poza zakres wartości normalnych lub docelowych. Obszary jaśniejsze podkreślają normalne lub docelowe wartości dla danego parametru.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z w:val="18"/>
                <w:szCs w:val="18"/>
              </w:rPr>
              <w:t>Ekran profile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 xml:space="preserve"> wyświetlanie mierzonych parametry w zależności od ich pozycji względem podświetlonego normalnego / docelowego zakresu wartości.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z w:val="18"/>
                <w:szCs w:val="18"/>
              </w:rPr>
              <w:t xml:space="preserve">Ekran trendy graficzne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m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ożliwość w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 xml:space="preserve">yświetlania dwóch krzywych trendu w jednym oknie trendu. 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Z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akres czasowy trendu 15 min/30 min/1 godz./3 godz./6 godz./12 godz./24 godz./2 dni/3 dni/6dni/12 dni. Możliwość dowolnej konfiguracji parametrów wyświetlanych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 xml:space="preserve">Ekran pomocy, 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 xml:space="preserve">- informacja o podłączeniu,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opisane kable i podłączenia cewnika między pacjentem i monitorem oraz jego modułami, dla każdej technologii pomiaru wyświetlony widok połączeń.</w:t>
            </w: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br/>
              <w:t xml:space="preserve">- informacja o parametrach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 xml:space="preserve">szczegółowe informacje tekstowe dotyczące wszystkich mierzonych parametrów z uwzględnieniem grup parametrów: wydajność, obciążenie wstępne, obciążenie następcze, kurczliwość, funkcja organów, 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- model fizjologiczny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 xml:space="preserve"> przegląd ogólny  parametrów, ich zależności i relacji, jak również możliwych opcji leczenia.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/>
                <w:spacing w:val="-9"/>
                <w:sz w:val="18"/>
                <w:szCs w:val="18"/>
              </w:rPr>
              <w:t>- model decyzyjny,</w:t>
            </w: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zawiera informacje o różnych algorytmach leczenia ukierunkowanego na cel, które opisano dla praktyki klinicznej i opublikowano w literaturze medycznej.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_DdeLink__1487_1711018757"/>
            <w:bookmarkEnd w:id="0"/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Drukowania danych poprzez  </w:t>
              <w:br/>
              <w:t xml:space="preserve">-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wirtualne drukowanie z portu USB</w:t>
            </w:r>
          </w:p>
          <w:p>
            <w:pPr>
              <w:pStyle w:val="Normal"/>
              <w:shd w:val="clear" w:color="auto" w:fill="FFFFFF"/>
              <w:ind w:right="72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Arial Unicode MS" w:cs="" w:ascii="Times New Roman" w:hAnsi="Times New Roman" w:cstheme="minorHAnsi"/>
                <w:sz w:val="18"/>
                <w:szCs w:val="18"/>
              </w:rPr>
              <w:t xml:space="preserve">-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drukowanie poprzez sieć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</w:rPr>
              <w:t>- drukowanie lokalne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Możliwość ustawienia wartości normalnych i docelowych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bCs/>
                <w:sz w:val="18"/>
                <w:szCs w:val="18"/>
              </w:rPr>
              <w:t>Możliwości transmisji danych z wykorzystaniem LAN</w:t>
            </w:r>
            <w:r>
              <w:rPr>
                <w:rFonts w:cs="" w:ascii="Times New Roman" w:hAnsi="Times New Roman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" w:ascii="Times New Roman" w:hAnsi="Times New Roman" w:cstheme="minorHAnsi"/>
                <w:sz w:val="18"/>
                <w:szCs w:val="18"/>
              </w:rPr>
              <w:t>do podłączania sieciowych drukarek i urządzeń przesyłania danych.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 xml:space="preserve">Czujnik do pomiaru rzutu serca z analizy kształtu fali ciśnienia tętniczego kompatybilny ze stosowanym na oddziale przetwornikiem do pomiaru inwazyjnego ciśnienia tętniczego krwi 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pacing w:val="-9"/>
                <w:sz w:val="18"/>
                <w:szCs w:val="18"/>
              </w:rPr>
              <w:t>Kompatybilne cewniki tętnicze do pomiaru termodylucji przezpłucnej , posiadające prowadnicę wykonaną z nitinolu, umożliwiające pomiar z dostępu: tętnica udowa dorośli, tętnica promieniowa dorośli, tętnica łokciowa dorośli, tętnica ramienna ok. łokciowa dorośli, tętnica ramienna proksymalnie dorośli, tętnica pachowa dorośli, tętnica udowa dzieci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  <w:lang w:eastAsia="ar-SA"/>
              </w:rPr>
              <w:t>Waga urządzenia nie więcej niż 3 kg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  <w:lang w:eastAsia="ar-SA"/>
              </w:rPr>
              <w:t>Ramię do mocowania monitora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  <w:lang w:eastAsia="ar-SA"/>
              </w:rPr>
              <w:t>Dopuszczenie do obrotu na terenie Polski, certyfikat CE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  <w:lang w:eastAsia="ar-SA"/>
              </w:rPr>
              <w:t>Książka gwarancyjna w języku polskim.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" w:ascii="Times New Roman" w:hAnsi="Times New Roman" w:cstheme="minorHAnsi"/>
                <w:sz w:val="18"/>
                <w:szCs w:val="18"/>
                <w:lang w:eastAsia="ar-SA"/>
              </w:rPr>
              <w:t>Instrukcja obsługi w języku polskim.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 oceny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Instalacja, montaż i szkolenie personelu obsługującego urządzenie - w cenie oferty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Tak 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Serwic na terenie Polski (podać adres)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680" w:top="1661" w:footer="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sz w:val="1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1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1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18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18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Annotationtext">
    <w:name w:val="annotation text"/>
    <w:basedOn w:val="Normal"/>
    <w:qFormat/>
    <w:pPr/>
    <w:rPr>
      <w:rFonts w:ascii="Times New Roman" w:hAnsi="Times New Roman" w:eastAsia="Times New Roman" w:cs="Times New Roman"/>
      <w:color w:val="00000A"/>
      <w:sz w:val="20"/>
      <w:szCs w:val="20"/>
      <w:lang w:eastAsia="pl-PL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LibreOffice/5.2.1.2$Windows_x86 LibreOffice_project/31dd62db80d4e60af04904455ec9c9219178d620</Application>
  <Pages>8</Pages>
  <Words>2857</Words>
  <Characters>18454</Characters>
  <CharactersWithSpaces>21114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2018-04-23T08:02:05Z</dcterms:created>
  <dc:creator/>
  <dc:description/>
  <dc:language>pl-PL</dc:language>
  <cp:lastModifiedBy/>
  <dcterms:modified xsi:type="dcterms:W3CDTF">2018-04-27T08:21:20Z</dcterms:modified>
  <cp:revision>20</cp:revision>
  <dc:subject/>
  <dc:title/>
</cp:coreProperties>
</file>