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sz w:val="24"/>
          <w:szCs w:val="24"/>
          <w:u w:val="none"/>
        </w:rPr>
        <w:t xml:space="preserve">PAKIET 1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u w:val="none"/>
        </w:rPr>
        <w:t>Załącznik nr 2 do SIWZ</w:t>
      </w:r>
    </w:p>
    <w:p>
      <w:pPr>
        <w:pStyle w:val="Normal"/>
        <w:jc w:val="both"/>
        <w:rPr/>
      </w:pPr>
      <w:r>
        <w:rPr>
          <w:rFonts w:eastAsia="Times New Roman" w:cs="Calibri"/>
          <w:b/>
          <w:bCs/>
          <w:color w:val="000000"/>
          <w:sz w:val="24"/>
          <w:szCs w:val="24"/>
          <w:u w:val="none"/>
        </w:rPr>
        <w:t>Oznaczenie sprawy:04/2018</w:t>
      </w:r>
    </w:p>
    <w:p>
      <w:pPr>
        <w:pStyle w:val="Normal"/>
        <w:jc w:val="both"/>
        <w:rPr/>
      </w:pPr>
      <w:r>
        <w:rPr>
          <w:rFonts w:eastAsia="Times New Roman" w:cs="Calibri"/>
          <w:b w:val="false"/>
          <w:bCs w:val="false"/>
          <w:color w:val="000000"/>
          <w:sz w:val="24"/>
          <w:szCs w:val="24"/>
          <w:u w:val="none"/>
        </w:rPr>
        <w:t xml:space="preserve">Dotyczy: </w:t>
      </w:r>
      <w:r>
        <w:rPr>
          <w:rFonts w:eastAsia="Times New Roman" w:cs="Calibri"/>
          <w:b w:val="false"/>
          <w:bCs w:val="false"/>
          <w:color w:val="000000"/>
          <w:sz w:val="24"/>
          <w:szCs w:val="24"/>
          <w:u w:val="none"/>
        </w:rPr>
        <w:t>Testy identyfikacyjne i testy do oznaczania lekowrażliwości oraz materiały zużywalne do automatycznego analizatora bakteriologicznego                     do identyfikacji i oznaczania lekowrażliwości w MIC i SIR wraz z dzierżawą automatycznego analizatora bakteriologicznego do identyfikacji i oznaczania lekowrażliwości w MIC i SIR</w:t>
      </w:r>
      <w:r>
        <w:rPr/>
        <w:t xml:space="preserve">                                                                               </w:t>
      </w:r>
    </w:p>
    <w:tbl>
      <w:tblPr>
        <w:tblW w:w="14969" w:type="dxa"/>
        <w:jc w:val="left"/>
        <w:tblInd w:w="1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999"/>
        <w:gridCol w:w="1288"/>
        <w:gridCol w:w="1377"/>
        <w:gridCol w:w="1359"/>
        <w:gridCol w:w="1305"/>
        <w:gridCol w:w="918"/>
        <w:gridCol w:w="1235"/>
        <w:gridCol w:w="1359"/>
        <w:gridCol w:w="1641"/>
        <w:gridCol w:w="1486"/>
      </w:tblGrid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Ilość szt. w opakowaniu jednostkowym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pelnych opakowań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op. netto w PLN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op. Brutto w PLN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netto w PLN 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w PLN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Wrtość brutto w PLN</w:t>
            </w:r>
          </w:p>
        </w:tc>
      </w:tr>
      <w:tr>
        <w:trPr>
          <w:trHeight w:val="449" w:hRule="atLeast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Testy identyfikacyjne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Bakterie Gram ujemne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Bakterie Gram dodatnie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Neisseria, Haemopfilus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Drożdżaki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Beztlenowce, Corynebacterium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Testy do oznaczania lekowrażliwości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Bakterie Gram ujemne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Bakterie Gram dodatnie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Drożdżaki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Dodatkowe odczynniki, kontrole</w:t>
            </w:r>
          </w:p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i części zużywalne niezbędne </w:t>
            </w:r>
          </w:p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do dzierżawionego analizatora 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Wykonawca wpisuje odpowiednią ilość odczynników, kontroli i materiałów zużywalnych w stosunku do planowanych ilości badań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LibreOffice/5.2.1.2$Windows_x86 LibreOffice_project/31dd62db80d4e60af04904455ec9c9219178d620</Application>
  <Pages>1</Pages>
  <Words>155</Words>
  <Characters>935</Characters>
  <CharactersWithSpaces>1329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2018-02-05T09:41:41Z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