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 xml:space="preserve">Samodzielny Publiczny </w:t>
        <w:tab/>
        <w:tab/>
        <w:tab/>
        <w:tab/>
        <w:t xml:space="preserve">                       Proszowice, dnia 2</w:t>
      </w:r>
      <w:r>
        <w:rPr>
          <w:b w:val="false"/>
          <w:bCs w:val="false"/>
          <w:sz w:val="22"/>
          <w:szCs w:val="22"/>
        </w:rPr>
        <w:t>3</w:t>
      </w:r>
      <w:r>
        <w:rPr>
          <w:b w:val="false"/>
          <w:bCs w:val="false"/>
          <w:sz w:val="22"/>
          <w:szCs w:val="22"/>
        </w:rPr>
        <w:t>.01.2018 r.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Zespół Opieki Zdrowotnej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ul. Kopernika 13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Uczestnicy postępowania prowadzonego w trybie przetargu nieograniczonego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na</w:t>
      </w:r>
      <w:r>
        <w:rPr>
          <w:rFonts w:eastAsia="Calibri" w:cs="Calibri"/>
          <w:b/>
          <w:bCs/>
          <w:sz w:val="22"/>
          <w:szCs w:val="22"/>
          <w:highlight w:val="white"/>
          <w:u w:val="none"/>
          <w:lang w:val="pl-PL"/>
        </w:rPr>
        <w:t xml:space="preserve"> d</w:t>
      </w:r>
      <w:r>
        <w:rPr>
          <w:rStyle w:val="Mocnowyrniony"/>
          <w:rFonts w:eastAsia="Calibri" w:cs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pl-PL"/>
        </w:rPr>
        <w:t>ostawę do magazynu apteki szpitalnej produktów leczniczych i wyrobów medycznych.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Oznaczenie sprawy: 01/ZP/2018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  <w:highlight w:val="white"/>
        </w:rPr>
        <w:t>W związku z wniesieniem zapytania przez Wykonawcę, Zamawiający przedstawia treść pytania i udziela pisemnej odpowiedzi zgodnie z art. 38 ust. 2 ustawy z dnia 29 stycznia 2004 roku Prawo zamówień publicznych  (Dz. U. z 2017 r. poz. 1579 z późniejszymi zmianami).</w:t>
      </w:r>
    </w:p>
    <w:p>
      <w:pPr>
        <w:pStyle w:val="Normal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highlight w:val="white"/>
          <w:u w:val="single"/>
        </w:rPr>
      </w:pPr>
      <w:r>
        <w:rPr>
          <w:b/>
          <w:bCs/>
          <w:i w:val="false"/>
          <w:iCs w:val="false"/>
          <w:sz w:val="22"/>
          <w:szCs w:val="22"/>
          <w:highlight w:val="white"/>
          <w:u w:val="single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  <w:t>Pytanie 1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highlight w:val="white"/>
          <w:lang w:eastAsia="pl-PL"/>
        </w:rPr>
        <w:t>„</w:t>
      </w: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highlight w:val="white"/>
          <w:lang w:eastAsia="pl-PL"/>
        </w:rPr>
        <w:t>Czy Zamawiający wyrazi zgodę na zaoferowanie w pakiecie 1 pozycja 16 diety Fresubin HP Energy, w opakowaniu EasyBag 1000ml - dieta do żywienia dojelitowego bogatobiałkowa, wysokokaloryczna(1,5kcal/ml), bezresztkowa zawierająca białko mleka(kazeina i serwatka)(7,5g/100ml), tłuszcze(olej sojowy, MCT, olej lniany(ALA), ω-3 kwasy tłuszczowe olej rybi EPA,DHA)(5,8g/100ml), węglowodany(maltodekstryny)(17,0g/100ml)o osmolarności 300 mosmol/l?</w:t>
      </w: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highlight w:val="white"/>
          <w:lang w:val="pl-PL" w:eastAsia="pl-PL"/>
        </w:rPr>
        <w:t>”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/>
          <w:b/>
          <w:bCs/>
          <w:highlight w:val="white"/>
        </w:rPr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bookmarkStart w:id="0" w:name="__DdeLink__140_137050255"/>
      <w:bookmarkEnd w:id="0"/>
      <w:r>
        <w:rPr>
          <w:b w:val="false"/>
          <w:bCs w:val="false"/>
          <w:highlight w:val="white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  <w:u w:val="single"/>
        </w:rPr>
        <w:t>Pytanie 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„</w:t>
      </w:r>
      <w:r>
        <w:rPr>
          <w:rFonts w:cs="Verdana" w:ascii="Times New Roman" w:hAnsi="Times New Roman"/>
          <w:sz w:val="24"/>
          <w:szCs w:val="24"/>
          <w:lang w:val="pl-PL"/>
        </w:rPr>
        <w:t xml:space="preserve">Czy Zamawiający wyrazi zgodę na zaoferowanie w pakiecie 1 pozycja 17 diety </w:t>
      </w:r>
      <w:r>
        <w:rPr>
          <w:rFonts w:cs="Verdana" w:ascii="Times New Roman" w:hAnsi="Times New Roman"/>
          <w:b/>
          <w:sz w:val="24"/>
          <w:szCs w:val="24"/>
          <w:lang w:val="pl-PL"/>
        </w:rPr>
        <w:t>Diben 1,5 kcal HP</w:t>
      </w:r>
      <w:r>
        <w:rPr>
          <w:rFonts w:cs="Verdana" w:ascii="Times New Roman" w:hAnsi="Times New Roman"/>
          <w:sz w:val="24"/>
          <w:szCs w:val="24"/>
          <w:lang w:val="pl-PL"/>
        </w:rPr>
        <w:t xml:space="preserve"> w opakowaniu EasyBag 1000ml - dieta wysokokaloryczna (1,5 kcal/ml), przeznaczona do żywienia dojelitowego przez zgłębnik, bogata w białko 7,5g/100ml (20 en%) oraz jednonienasycone kwasy tłuszczowe (MUFA 4,6/100ml). Zawiera błonnik (2,3 g/100 ml), MCT oraz EPA i DHA 0,23g/100ml pochodzące z oleju rybnego. Zmodyfikowana pod względem zawartości węglowodanów w celu lepszej kontroli poziomu glukozy we krwi. Nie zawiera glutenu, klinicznie wolna od laktozy, o niskiej zawartości sodu oraz cholesterolu.”</w:t>
      </w:r>
    </w:p>
    <w:p>
      <w:pPr>
        <w:pStyle w:val="Normal"/>
        <w:jc w:val="both"/>
        <w:rPr>
          <w:rFonts w:cs="Tahoma"/>
          <w:highlight w:val="white"/>
        </w:rPr>
      </w:pPr>
      <w:r>
        <w:rPr>
          <w:rFonts w:cs="Tahoma"/>
          <w:highlight w:val="whit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ahoma"/>
          <w:highlight w:val="white"/>
        </w:rPr>
      </w:pPr>
      <w:r>
        <w:rPr>
          <w:rFonts w:cs="Tahoma"/>
          <w:b w:val="false"/>
          <w:bCs w:val="false"/>
          <w:sz w:val="24"/>
          <w:szCs w:val="24"/>
          <w:highlight w:val="white"/>
          <w:u w:val="none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ahoma"/>
          <w:highlight w:val="whit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ahoma"/>
          <w:b/>
          <w:bCs/>
          <w:sz w:val="24"/>
          <w:szCs w:val="24"/>
          <w:highlight w:val="white"/>
          <w:u w:val="single"/>
        </w:rPr>
        <w:t>Pytanie 3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u w:val="none"/>
          <w:lang w:eastAsia="pl-PL"/>
        </w:rPr>
        <w:t>„</w:t>
      </w: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u w:val="none"/>
          <w:lang w:eastAsia="pl-PL"/>
        </w:rPr>
        <w:t>Czy Zamawiający wyrazi zgodę w pakiecie 2 pozycja 2 na zaoferowanie produktu 6% roztwór Hydroxyethylamylum 130/0,38 - 0,45 w 0,9% chlorku sodu lub w dostosowanym do osocza zbilansowanym izotonicznym roztworze wieloelektrolitowym, nie wymagającym pobrania próbki krwi przed podaniem?</w:t>
      </w: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highlight w:val="white"/>
          <w:u w:val="none"/>
          <w:lang w:val="pl-PL" w:eastAsia="pl-PL"/>
        </w:rPr>
        <w:t>”</w:t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 w:val="false"/>
          <w:bCs w:val="false"/>
          <w:sz w:val="24"/>
          <w:szCs w:val="24"/>
          <w:highlight w:val="white"/>
        </w:rPr>
        <w:t>Zgodnie z SIWZ.</w:t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ahoma"/>
          <w:b/>
          <w:bCs/>
          <w:sz w:val="24"/>
          <w:szCs w:val="24"/>
          <w:highlight w:val="white"/>
          <w:u w:val="single"/>
        </w:rPr>
        <w:t>Pytanie 4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ahoma"/>
          <w:b w:val="false"/>
          <w:bCs w:val="false"/>
          <w:sz w:val="24"/>
          <w:szCs w:val="24"/>
          <w:lang w:eastAsia="pl-PL"/>
        </w:rPr>
        <w:t>„</w:t>
      </w: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lang w:eastAsia="pl-PL"/>
        </w:rPr>
        <w:t>Czy Zamawiający wyrazi zgodę w pakiecie 2 pozycja 3 na zaoferowanie produktu 10% roztwór Hydroxyethylamylum 130/0,38 - 0,45 w 0,9% chlorku sodu?</w:t>
      </w: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eastAsia="pl-PL"/>
        </w:rPr>
        <w:t>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/>
          <w:b/>
          <w:bCs/>
          <w:highlight w:val="white"/>
        </w:rPr>
      </w:pPr>
      <w:r>
        <w:rPr/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 w:val="false"/>
          <w:bCs w:val="false"/>
          <w:sz w:val="24"/>
          <w:szCs w:val="24"/>
          <w:highlight w:val="white"/>
        </w:rPr>
        <w:t>Zgodnie z SIWZ.</w:t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/>
          <w:bCs/>
          <w:sz w:val="24"/>
          <w:szCs w:val="24"/>
          <w:highlight w:val="white"/>
          <w:u w:val="single"/>
        </w:rPr>
        <w:t>Pytanie 5</w:t>
      </w:r>
    </w:p>
    <w:p>
      <w:pPr>
        <w:pStyle w:val="Normal"/>
        <w:widowControl/>
        <w:suppressAutoHyphens w:val="false"/>
        <w:overflowPunct w:val="true"/>
        <w:bidi w:val="0"/>
        <w:spacing w:lineRule="atLeast" w:line="240" w:before="12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highlight w:val="white"/>
          <w:u w:val="none"/>
          <w:lang w:eastAsia="pl-PL"/>
        </w:rPr>
        <w:t>„</w:t>
      </w: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highlight w:val="white"/>
          <w:u w:val="none"/>
          <w:lang w:eastAsia="pl-PL"/>
        </w:rPr>
        <w:t>Uprzejmie proszę o zgodę na wydzielenie z pakietu 2 pozycji 2-4 i utworzenie oddzielnego pakietu co umożliwi złożenie ofert konkurencyjnych cenowo wielu Wykonawcom.”</w:t>
      </w:r>
    </w:p>
    <w:p>
      <w:pPr>
        <w:pStyle w:val="Normal"/>
        <w:spacing w:before="0" w:after="0"/>
        <w:jc w:val="both"/>
        <w:rPr>
          <w:rFonts w:ascii="Times New Roman" w:hAnsi="Times New Roman"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 w:val="false"/>
          <w:bCs w:val="false"/>
          <w:sz w:val="24"/>
          <w:szCs w:val="24"/>
          <w:highlight w:val="white"/>
        </w:rPr>
        <w:t>Zgodnie z SIWZ.</w:t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/>
          <w:bCs/>
          <w:sz w:val="24"/>
          <w:szCs w:val="24"/>
          <w:highlight w:val="white"/>
          <w:u w:val="single"/>
        </w:rPr>
        <w:t>Pytanie 6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lang w:eastAsia="pl-PL"/>
        </w:rPr>
        <w:t>„</w:t>
      </w:r>
      <w:r>
        <w:rPr>
          <w:rFonts w:eastAsia="Times New Roman" w:cs="Verdana" w:ascii="Times New Roman" w:hAnsi="Times New Roman"/>
          <w:b w:val="false"/>
          <w:bCs w:val="false"/>
          <w:sz w:val="24"/>
          <w:szCs w:val="24"/>
          <w:lang w:eastAsia="pl-PL"/>
        </w:rPr>
        <w:t>Czy Zamawiający w pakiecie 7 pozycja 1 wyrazi zgodę na zaoferowanie worka 3                        komorowego Kabiven do żywienia pozajelitowego do podawania centralnie, zawierającego aminokwasy 34,0g, glukozę 100,0g, emulsję tłuszczową 40,0g, azot 5,4g i energię                     niebiałkową 800 kcal objętość 1026ml?Czy Zamawiający w pakiecie 7 pozycja 1 wyrazi               zgodę na zaoferowanie worka 3 komorowego Kabiven do żywienia pozajelitowego do                    podawania centralnie, zawierającego aminokwasy 34,0g, glukozę 100,0g, emulsję tłuszczową 40,0g, azot 5,4g i energię niebiałkową 800 kcal objętość 1026ml?”</w:t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 w:val="false"/>
          <w:bCs w:val="false"/>
          <w:sz w:val="24"/>
          <w:szCs w:val="24"/>
          <w:highlight w:val="white"/>
        </w:rPr>
        <w:t>Zgodnie z SIWZ.</w:t>
      </w:r>
    </w:p>
    <w:p>
      <w:pPr>
        <w:pStyle w:val="Normal"/>
        <w:jc w:val="both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ahoma"/>
          <w:b/>
          <w:bCs/>
          <w:sz w:val="24"/>
          <w:szCs w:val="24"/>
          <w:highlight w:val="white"/>
          <w:u w:val="single"/>
        </w:rPr>
        <w:t>Pytanie 7</w:t>
      </w:r>
    </w:p>
    <w:p>
      <w:pPr>
        <w:pStyle w:val="Normal"/>
        <w:widowControl w:val="false"/>
        <w:overflowPunct w:val="true"/>
        <w:bidi w:val="0"/>
        <w:spacing w:before="12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 w:val="false"/>
          <w:bCs w:val="false"/>
          <w:sz w:val="24"/>
          <w:szCs w:val="24"/>
        </w:rPr>
        <w:t>„</w:t>
      </w:r>
      <w:r>
        <w:rPr>
          <w:rFonts w:cs="Verdana" w:ascii="Times New Roman" w:hAnsi="Times New Roman"/>
          <w:b w:val="false"/>
          <w:bCs w:val="false"/>
          <w:sz w:val="24"/>
          <w:szCs w:val="24"/>
        </w:rPr>
        <w:t>Czy Zamawiający w pakiecie 7 pozycja 2 wyrazi zgodę na zaoferowanie worka                             3 komorowego Kabiven do żywienia pozajelitowego do podawania centralnie, zawierającego aminokwasy 85,0g, glukozę 250,0g, emulsję tłuszczową 100,0g, azot 13,5g i energię niebiałkową 2000 kcal objętość 2566ml?”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  <w:highlight w:val="white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 w:val="false"/>
          <w:bCs w:val="false"/>
          <w:highlight w:val="white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left"/>
        <w:rPr>
          <w:rFonts w:ascii="Times New Roman" w:hAnsi="Times New Roman" w:cs="" w:cstheme="minorHAnsi"/>
          <w:b w:val="false"/>
          <w:b w:val="false"/>
          <w:bCs w:val="false"/>
          <w:sz w:val="24"/>
          <w:szCs w:val="24"/>
          <w:highlight w:val="white"/>
          <w:u w:val="none"/>
          <w:lang w:val="pl-PL"/>
        </w:rPr>
      </w:pPr>
      <w:r>
        <w:rPr/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" w:asciiTheme="minorHAnsi" w:cstheme="minorHAnsi" w:hAnsiTheme="minorHAnsi"/>
          <w:sz w:val="20"/>
          <w:szCs w:val="16"/>
        </w:rPr>
      </w:pPr>
      <w:r>
        <w:rPr>
          <w:rFonts w:cs="" w:asciiTheme="minorHAnsi" w:cstheme="minorHAnsi" w:hAnsiTheme="minorHAnsi"/>
          <w:sz w:val="20"/>
          <w:szCs w:val="16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highlight w:val="white"/>
        </w:rPr>
        <w:t>Powyższe wyjaśnienia Zamawiający zamieszcza na stronie internetowej w dniu 2</w:t>
      </w:r>
      <w:r>
        <w:rPr>
          <w:highlight w:val="white"/>
        </w:rPr>
        <w:t>3</w:t>
      </w:r>
      <w:r>
        <w:rPr>
          <w:highlight w:val="white"/>
        </w:rPr>
        <w:t>.01.2018 r.</w:t>
      </w:r>
    </w:p>
    <w:sectPr>
      <w:type w:val="nextPage"/>
      <w:pgSz w:w="11906" w:h="16838"/>
      <w:pgMar w:left="1417" w:right="1417" w:header="0" w:top="964" w:footer="0" w:bottom="96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Franklin Gothic Medium Cond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RTFNum21">
    <w:name w:val="RTF_Num 2 1"/>
    <w:qFormat/>
    <w:rPr>
      <w:rFonts w:ascii="Symbol" w:hAnsi="Symbol"/>
    </w:rPr>
  </w:style>
  <w:style w:type="character" w:styleId="RTFNum31">
    <w:name w:val="RTF_Num 3 1"/>
    <w:qFormat/>
    <w:rPr>
      <w:rFonts w:ascii="Symbol" w:hAnsi="Symbol"/>
    </w:rPr>
  </w:style>
  <w:style w:type="character" w:styleId="RTFNum41">
    <w:name w:val="RTF_Num 4 1"/>
    <w:qFormat/>
    <w:rPr>
      <w:rFonts w:ascii="Symbol" w:hAnsi="Symbol"/>
    </w:rPr>
  </w:style>
  <w:style w:type="character" w:styleId="RTFNum51">
    <w:name w:val="RTF_Num 5 1"/>
    <w:qFormat/>
    <w:rPr>
      <w:rFonts w:ascii="Symbol" w:hAnsi="Symbol"/>
    </w:rPr>
  </w:style>
  <w:style w:type="character" w:styleId="RTFNum61">
    <w:name w:val="RTF_Num 6 1"/>
    <w:qFormat/>
    <w:rPr>
      <w:rFonts w:ascii="Symbol" w:hAnsi="Symbol"/>
    </w:rPr>
  </w:style>
  <w:style w:type="character" w:styleId="RTFNum71">
    <w:name w:val="RTF_Num 7 1"/>
    <w:qFormat/>
    <w:rPr>
      <w:rFonts w:ascii="Symbol" w:hAnsi="Symbol"/>
    </w:rPr>
  </w:style>
  <w:style w:type="character" w:styleId="RTFNum81">
    <w:name w:val="RTF_Num 8 1"/>
    <w:qFormat/>
    <w:rPr>
      <w:rFonts w:ascii="Symbol" w:hAnsi="Symbol"/>
    </w:rPr>
  </w:style>
  <w:style w:type="character" w:styleId="RTFNum91">
    <w:name w:val="RTF_Num 9 1"/>
    <w:qFormat/>
    <w:rPr>
      <w:rFonts w:ascii="Symbol" w:hAnsi="Symbol"/>
    </w:rPr>
  </w:style>
  <w:style w:type="character" w:styleId="RTFNum101">
    <w:name w:val="RTF_Num 10 1"/>
    <w:qFormat/>
    <w:rPr>
      <w:rFonts w:ascii="Symbol" w:hAnsi="Symbol"/>
    </w:rPr>
  </w:style>
  <w:style w:type="character" w:styleId="RTFNum111">
    <w:name w:val="RTF_Num 11 1"/>
    <w:qFormat/>
    <w:rPr>
      <w:rFonts w:ascii="Symbol" w:hAnsi="Symbol"/>
    </w:rPr>
  </w:style>
  <w:style w:type="character" w:styleId="RTFNum121">
    <w:name w:val="RTF_Num 12 1"/>
    <w:qFormat/>
    <w:rPr>
      <w:rFonts w:ascii="Symbol" w:hAnsi="Symbol"/>
    </w:rPr>
  </w:style>
  <w:style w:type="character" w:styleId="RTFNum131">
    <w:name w:val="RTF_Num 13 1"/>
    <w:qFormat/>
    <w:rPr>
      <w:rFonts w:ascii="Symbol" w:hAnsi="Symbol"/>
    </w:rPr>
  </w:style>
  <w:style w:type="character" w:styleId="RTFNum141">
    <w:name w:val="RTF_Num 14 1"/>
    <w:qFormat/>
    <w:rPr>
      <w:rFonts w:ascii="Symbol" w:hAnsi="Symbol"/>
    </w:rPr>
  </w:style>
  <w:style w:type="character" w:styleId="RTFNum151">
    <w:name w:val="RTF_Num 15 1"/>
    <w:qFormat/>
    <w:rPr>
      <w:rFonts w:ascii="Symbol" w:hAnsi="Symbol"/>
    </w:rPr>
  </w:style>
  <w:style w:type="character" w:styleId="RTFNum161">
    <w:name w:val="RTF_Num 16 1"/>
    <w:qFormat/>
    <w:rPr>
      <w:rFonts w:ascii="Symbol" w:hAnsi="Symbol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WW8Num12z0">
    <w:name w:val="WW8Num12z0"/>
    <w:qFormat/>
    <w:rPr>
      <w:color w:val="000000"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b w:val="false"/>
    </w:rPr>
  </w:style>
  <w:style w:type="character" w:styleId="RTFNum171">
    <w:name w:val="RTF_Num 17 1"/>
    <w:qFormat/>
    <w:rPr>
      <w:rFonts w:ascii="Symbol" w:hAnsi="Symbol"/>
    </w:rPr>
  </w:style>
  <w:style w:type="character" w:styleId="RTFNum181">
    <w:name w:val="RTF_Num 18 1"/>
    <w:qFormat/>
    <w:rPr>
      <w:rFonts w:ascii="Symbol" w:hAnsi="Symbol"/>
    </w:rPr>
  </w:style>
  <w:style w:type="character" w:styleId="RTFNum191">
    <w:name w:val="RTF_Num 19 1"/>
    <w:qFormat/>
    <w:rPr>
      <w:rFonts w:ascii="Symbol" w:hAnsi="Symbol"/>
    </w:rPr>
  </w:style>
  <w:style w:type="character" w:styleId="RTFNum201">
    <w:name w:val="RTF_Num 20 1"/>
    <w:qFormat/>
    <w:rPr>
      <w:rFonts w:ascii="Symbol" w:hAnsi="Symbol"/>
    </w:rPr>
  </w:style>
  <w:style w:type="character" w:styleId="RTFNum211">
    <w:name w:val="RTF_Num 21 1"/>
    <w:qFormat/>
    <w:rPr>
      <w:rFonts w:ascii="Symbol" w:hAnsi="Symbol"/>
    </w:rPr>
  </w:style>
  <w:style w:type="character" w:styleId="RTFNum221">
    <w:name w:val="RTF_Num 22 1"/>
    <w:qFormat/>
    <w:rPr>
      <w:rFonts w:ascii="Symbol" w:hAnsi="Symbol"/>
    </w:rPr>
  </w:style>
  <w:style w:type="character" w:styleId="RTFNum231">
    <w:name w:val="RTF_Num 23 1"/>
    <w:qFormat/>
    <w:rPr>
      <w:rFonts w:ascii="Symbol" w:hAnsi="Symbol"/>
    </w:rPr>
  </w:style>
  <w:style w:type="character" w:styleId="RTFNum241">
    <w:name w:val="RTF_Num 24 1"/>
    <w:qFormat/>
    <w:rPr>
      <w:rFonts w:ascii="Symbol" w:hAnsi="Symbol"/>
    </w:rPr>
  </w:style>
  <w:style w:type="character" w:styleId="Znakinumeracji">
    <w:name w:val="Znaki numeracji"/>
    <w:qFormat/>
    <w:rPr/>
  </w:style>
  <w:style w:type="character" w:styleId="RTFNum251">
    <w:name w:val="RTF_Num 25 1"/>
    <w:qFormat/>
    <w:rPr>
      <w:rFonts w:ascii="Symbol" w:hAnsi="Symbol"/>
    </w:rPr>
  </w:style>
  <w:style w:type="character" w:styleId="RTFNum261">
    <w:name w:val="RTF_Num 26 1"/>
    <w:qFormat/>
    <w:rPr>
      <w:rFonts w:ascii="Symbol" w:hAnsi="Symbol"/>
    </w:rPr>
  </w:style>
  <w:style w:type="character" w:styleId="RTFNum271">
    <w:name w:val="RTF_Num 27 1"/>
    <w:qFormat/>
    <w:rPr>
      <w:rFonts w:ascii="Symbol" w:hAnsi="Symbol"/>
    </w:rPr>
  </w:style>
  <w:style w:type="character" w:styleId="RTFNum281">
    <w:name w:val="RTF_Num 28 1"/>
    <w:qFormat/>
    <w:rPr>
      <w:rFonts w:ascii="Symbol" w:hAnsi="Symbol"/>
    </w:rPr>
  </w:style>
  <w:style w:type="character" w:styleId="RTFNum291">
    <w:name w:val="RTF_Num 29 1"/>
    <w:qFormat/>
    <w:rPr>
      <w:rFonts w:ascii="Symbol" w:hAnsi="Symbol"/>
    </w:rPr>
  </w:style>
  <w:style w:type="character" w:styleId="RTFNum301">
    <w:name w:val="RTF_Num 30 1"/>
    <w:qFormat/>
    <w:rPr>
      <w:rFonts w:ascii="Symbol" w:hAnsi="Symbol"/>
    </w:rPr>
  </w:style>
  <w:style w:type="character" w:styleId="RTFNum311">
    <w:name w:val="RTF_Num 31 1"/>
    <w:qFormat/>
    <w:rPr>
      <w:rFonts w:ascii="Symbol" w:hAnsi="Symbol"/>
    </w:rPr>
  </w:style>
  <w:style w:type="character" w:styleId="RTFNum321">
    <w:name w:val="RTF_Num 32 1"/>
    <w:qFormat/>
    <w:rPr>
      <w:rFonts w:ascii="Symbol" w:hAnsi="Symbol"/>
    </w:rPr>
  </w:style>
  <w:style w:type="character" w:styleId="RTFNum331">
    <w:name w:val="RTF_Num 33 1"/>
    <w:qFormat/>
    <w:rPr>
      <w:rFonts w:ascii="Symbol" w:hAnsi="Symbol"/>
    </w:rPr>
  </w:style>
  <w:style w:type="character" w:styleId="RTFNum341">
    <w:name w:val="RTF_Num 34 1"/>
    <w:qFormat/>
    <w:rPr>
      <w:rFonts w:ascii="Symbol" w:hAnsi="Symbol"/>
    </w:rPr>
  </w:style>
  <w:style w:type="character" w:styleId="RTFNum351">
    <w:name w:val="RTF_Num 35 1"/>
    <w:qFormat/>
    <w:rPr>
      <w:rFonts w:ascii="Symbol" w:hAnsi="Symbol"/>
    </w:rPr>
  </w:style>
  <w:style w:type="character" w:styleId="RTFNum361">
    <w:name w:val="RTF_Num 36 1"/>
    <w:qFormat/>
    <w:rPr>
      <w:rFonts w:ascii="Symbol" w:hAnsi="Symbol"/>
    </w:rPr>
  </w:style>
  <w:style w:type="character" w:styleId="RTFNum371">
    <w:name w:val="RTF_Num 37 1"/>
    <w:qFormat/>
    <w:rPr>
      <w:rFonts w:ascii="Symbol" w:hAnsi="Symbol"/>
    </w:rPr>
  </w:style>
  <w:style w:type="character" w:styleId="RTFNum381">
    <w:name w:val="RTF_Num 38 1"/>
    <w:qFormat/>
    <w:rPr>
      <w:rFonts w:ascii="Symbol" w:hAnsi="Symbol"/>
    </w:rPr>
  </w:style>
  <w:style w:type="character" w:styleId="RTFNum391">
    <w:name w:val="RTF_Num 39 1"/>
    <w:qFormat/>
    <w:rPr>
      <w:rFonts w:ascii="Symbol" w:hAnsi="Symbol"/>
    </w:rPr>
  </w:style>
  <w:style w:type="character" w:styleId="RTFNum401">
    <w:name w:val="RTF_Num 40 1"/>
    <w:qFormat/>
    <w:rPr>
      <w:rFonts w:ascii="Symbol" w:hAnsi="Symbol"/>
    </w:rPr>
  </w:style>
  <w:style w:type="character" w:styleId="RTFNum411">
    <w:name w:val="RTF_Num 41 1"/>
    <w:qFormat/>
    <w:rPr>
      <w:rFonts w:ascii="Symbol" w:hAnsi="Symbol"/>
    </w:rPr>
  </w:style>
  <w:style w:type="character" w:styleId="RTFNum421">
    <w:name w:val="RTF_Num 42 1"/>
    <w:qFormat/>
    <w:rPr>
      <w:rFonts w:ascii="Symbol" w:hAnsi="Symbol"/>
    </w:rPr>
  </w:style>
  <w:style w:type="character" w:styleId="RTFNum431">
    <w:name w:val="RTF_Num 43 1"/>
    <w:qFormat/>
    <w:rPr>
      <w:rFonts w:ascii="Symbol" w:hAnsi="Symbol"/>
    </w:rPr>
  </w:style>
  <w:style w:type="character" w:styleId="RTFNum441">
    <w:name w:val="RTF_Num 44 1"/>
    <w:qFormat/>
    <w:rPr>
      <w:rFonts w:ascii="Symbol" w:hAnsi="Symbol"/>
    </w:rPr>
  </w:style>
  <w:style w:type="character" w:styleId="RTFNum451">
    <w:name w:val="RTF_Num 45 1"/>
    <w:qFormat/>
    <w:rPr>
      <w:rFonts w:ascii="Symbol" w:hAnsi="Symbol"/>
    </w:rPr>
  </w:style>
  <w:style w:type="character" w:styleId="RTFNum461">
    <w:name w:val="RTF_Num 46 1"/>
    <w:qFormat/>
    <w:rPr>
      <w:rFonts w:ascii="Symbol" w:hAnsi="Symbol"/>
    </w:rPr>
  </w:style>
  <w:style w:type="character" w:styleId="RTFNum471">
    <w:name w:val="RTF_Num 47 1"/>
    <w:qFormat/>
    <w:rPr>
      <w:rFonts w:ascii="Symbol" w:hAnsi="Symbol"/>
    </w:rPr>
  </w:style>
  <w:style w:type="character" w:styleId="RTFNum481">
    <w:name w:val="RTF_Num 48 1"/>
    <w:qFormat/>
    <w:rPr>
      <w:rFonts w:ascii="Symbol" w:hAnsi="Symbol"/>
    </w:rPr>
  </w:style>
  <w:style w:type="character" w:styleId="RTFNum491">
    <w:name w:val="RTF_Num 49 1"/>
    <w:qFormat/>
    <w:rPr>
      <w:rFonts w:ascii="Symbol" w:hAnsi="Symbol"/>
    </w:rPr>
  </w:style>
  <w:style w:type="character" w:styleId="RTFNum501">
    <w:name w:val="RTF_Num 50 1"/>
    <w:qFormat/>
    <w:rPr>
      <w:rFonts w:ascii="Symbol" w:hAnsi="Symbol"/>
    </w:rPr>
  </w:style>
  <w:style w:type="character" w:styleId="RTFNum511">
    <w:name w:val="RTF_Num 51 1"/>
    <w:qFormat/>
    <w:rPr>
      <w:rFonts w:ascii="Symbol" w:hAnsi="Symbol"/>
    </w:rPr>
  </w:style>
  <w:style w:type="character" w:styleId="RTFNum521">
    <w:name w:val="RTF_Num 52 1"/>
    <w:qFormat/>
    <w:rPr>
      <w:rFonts w:ascii="Symbol" w:hAnsi="Symbol"/>
    </w:rPr>
  </w:style>
  <w:style w:type="character" w:styleId="RTFNum531">
    <w:name w:val="RTF_Num 53 1"/>
    <w:qFormat/>
    <w:rPr>
      <w:rFonts w:ascii="Symbol" w:hAnsi="Symbol"/>
    </w:rPr>
  </w:style>
  <w:style w:type="character" w:styleId="RTFNum541">
    <w:name w:val="RTF_Num 54 1"/>
    <w:qFormat/>
    <w:rPr>
      <w:rFonts w:ascii="Symbol" w:hAnsi="Symbol"/>
    </w:rPr>
  </w:style>
  <w:style w:type="character" w:styleId="RTFNum551">
    <w:name w:val="RTF_Num 55 1"/>
    <w:qFormat/>
    <w:rPr>
      <w:rFonts w:ascii="Symbol" w:hAnsi="Symbol"/>
    </w:rPr>
  </w:style>
  <w:style w:type="character" w:styleId="RTFNum561">
    <w:name w:val="RTF_Num 56 1"/>
    <w:qFormat/>
    <w:rPr>
      <w:rFonts w:ascii="Symbol" w:hAnsi="Symbol"/>
    </w:rPr>
  </w:style>
  <w:style w:type="character" w:styleId="FontStyle42">
    <w:name w:val="Font Style42"/>
    <w:qFormat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styleId="FontStyle37">
    <w:name w:val="Font Style37"/>
    <w:qFormat/>
    <w:rPr>
      <w:rFonts w:ascii="Tahoma" w:hAnsi="Tahoma" w:cs="Tahoma"/>
      <w:b/>
      <w:bCs/>
      <w:sz w:val="24"/>
      <w:szCs w:val="24"/>
    </w:rPr>
  </w:style>
  <w:style w:type="character" w:styleId="FontStyle41">
    <w:name w:val="Font Style41"/>
    <w:qFormat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styleId="WW8Num3z0">
    <w:name w:val="WW8Num3z0"/>
    <w:qFormat/>
    <w:rPr>
      <w:rFonts w:ascii="Verdana" w:hAnsi="Verdana"/>
      <w:sz w:val="20"/>
      <w:szCs w:val="20"/>
    </w:rPr>
  </w:style>
  <w:style w:type="character" w:styleId="RTFNum571">
    <w:name w:val="RTF_Num 57 1"/>
    <w:qFormat/>
    <w:rPr>
      <w:rFonts w:ascii="Symbol" w:hAnsi="Symbol"/>
    </w:rPr>
  </w:style>
  <w:style w:type="character" w:styleId="RTFNum581">
    <w:name w:val="RTF_Num 58 1"/>
    <w:qFormat/>
    <w:rPr>
      <w:rFonts w:ascii="Symbol" w:hAnsi="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S13">
    <w:name w:val="s13"/>
    <w:basedOn w:val="DefaultParagraphFont"/>
    <w:qFormat/>
    <w:rPr/>
  </w:style>
  <w:style w:type="character" w:styleId="WW8Num22z0">
    <w:name w:val="WW8Num22z0"/>
    <w:qFormat/>
    <w:rPr>
      <w:lang w:val="pl-P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36z0">
    <w:name w:val="WW8Num36z0"/>
    <w:qFormat/>
    <w:rPr>
      <w:b w:val="false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wykytekst">
    <w:name w:val="Zwykły tekst"/>
    <w:basedOn w:val="Normal"/>
    <w:qFormat/>
    <w:pPr>
      <w:suppressAutoHyphens w:val="false"/>
    </w:pPr>
    <w:rPr>
      <w:rFonts w:ascii="Consolas" w:hAnsi="Consolas" w:eastAsia="Calibri"/>
      <w:sz w:val="21"/>
      <w:szCs w:val="21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SimSun"/>
      <w:sz w:val="22"/>
      <w:szCs w:val="22"/>
      <w:lang w:val="en-US" w:eastAsia="zh-CN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3">
    <w:name w:val="Tekst podstawowy wcięty 3"/>
    <w:basedOn w:val="Normal"/>
    <w:qFormat/>
    <w:pPr>
      <w:spacing w:before="0" w:after="0"/>
      <w:ind w:left="922" w:right="0" w:hanging="922"/>
    </w:pPr>
    <w:rPr>
      <w:rFonts w:ascii="Arial" w:hAnsi="Arial" w:cs="Arial"/>
      <w:i/>
      <w:iCs/>
      <w:color w:val="0000FF"/>
      <w:sz w:val="16"/>
      <w:szCs w:val="16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Arial" w:hAnsi="Arial" w:eastAsia="SimSun" w:cs="Arial"/>
      <w:color w:val="000000"/>
      <w:sz w:val="24"/>
      <w:szCs w:val="24"/>
      <w:lang w:val="pl-PL" w:eastAsia="zh-CN" w:bidi="hi-IN"/>
    </w:rPr>
  </w:style>
  <w:style w:type="paragraph" w:styleId="BodyTextIndent2">
    <w:name w:val="Body Text Indent 2"/>
    <w:basedOn w:val="Normal"/>
    <w:qFormat/>
    <w:pPr>
      <w:overflowPunct w:val="false"/>
      <w:spacing w:lineRule="auto" w:line="360" w:before="0" w:after="0"/>
      <w:ind w:left="0" w:right="0" w:firstLine="360"/>
      <w:jc w:val="both"/>
      <w:textAlignment w:val="baseline"/>
    </w:pPr>
    <w:rPr>
      <w:szCs w:val="20"/>
    </w:rPr>
  </w:style>
  <w:style w:type="paragraph" w:styleId="Bezodstpw">
    <w:name w:val="Bez odstępów"/>
    <w:qFormat/>
    <w:pPr>
      <w:widowControl/>
      <w:overflowPunct w:val="true"/>
      <w:bidi w:val="0"/>
      <w:jc w:val="left"/>
    </w:pPr>
    <w:rPr>
      <w:rFonts w:ascii="Calibri" w:hAnsi="Calibri" w:eastAsia="Arial" w:cs="Times New Roman"/>
      <w:color w:val="00000A"/>
      <w:sz w:val="22"/>
      <w:szCs w:val="22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Tytu">
    <w:name w:val="Title"/>
    <w:basedOn w:val="Normal"/>
    <w:qFormat/>
    <w:pPr>
      <w:jc w:val="center"/>
    </w:pPr>
    <w:rPr>
      <w:sz w:val="28"/>
      <w:lang w:val="zxx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Textbodyindent">
    <w:name w:val="Text body indent"/>
    <w:basedOn w:val="Normal"/>
    <w:qFormat/>
    <w:pPr>
      <w:widowControl w:val="false"/>
      <w:suppressAutoHyphens w:val="true"/>
      <w:spacing w:before="0" w:after="120"/>
      <w:ind w:left="283" w:right="0" w:hanging="0"/>
      <w:textAlignment w:val="baseline"/>
    </w:pPr>
    <w:rPr>
      <w:rFonts w:eastAsia="SimSun;宋体" w:cs="Mangal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14">
    <w:name w:val="s14"/>
    <w:basedOn w:val="Normal"/>
    <w:qFormat/>
    <w:pPr>
      <w:overflowPunct w:val="false"/>
      <w:spacing w:beforeAutospacing="1" w:afterAutospacing="1"/>
      <w:textAlignment w:val="auto"/>
    </w:pPr>
    <w:rPr>
      <w:rFonts w:eastAsia="" w:eastAsiaTheme="minorHAnsi"/>
      <w:sz w:val="24"/>
      <w:szCs w:val="24"/>
      <w:lang w:eastAsia="pl-PL"/>
    </w:rPr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RTFNum16">
    <w:name w:val="RTF_Num 16"/>
    <w:qFormat/>
  </w:style>
  <w:style w:type="numbering" w:styleId="WW8Num12">
    <w:name w:val="WW8Num12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RTFNum17">
    <w:name w:val="RTF_Num 17"/>
    <w:qFormat/>
  </w:style>
  <w:style w:type="numbering" w:styleId="RTFNum18">
    <w:name w:val="RTF_Num 18"/>
    <w:qFormat/>
  </w:style>
  <w:style w:type="numbering" w:styleId="RTFNum19">
    <w:name w:val="RTF_Num 19"/>
    <w:qFormat/>
  </w:style>
  <w:style w:type="numbering" w:styleId="RTFNum20">
    <w:name w:val="RTF_Num 20"/>
    <w:qFormat/>
  </w:style>
  <w:style w:type="numbering" w:styleId="RTFNum212">
    <w:name w:val="RTF_Num 21"/>
    <w:qFormat/>
  </w:style>
  <w:style w:type="numbering" w:styleId="RTFNum22">
    <w:name w:val="RTF_Num 22"/>
    <w:qFormat/>
  </w:style>
  <w:style w:type="numbering" w:styleId="RTFNum23">
    <w:name w:val="RTF_Num 23"/>
    <w:qFormat/>
  </w:style>
  <w:style w:type="numbering" w:styleId="RTFNum24">
    <w:name w:val="RTF_Num 24"/>
    <w:qFormat/>
  </w:style>
  <w:style w:type="numbering" w:styleId="RTFNum25">
    <w:name w:val="RTF_Num 25"/>
    <w:qFormat/>
  </w:style>
  <w:style w:type="numbering" w:styleId="RTFNum26">
    <w:name w:val="RTF_Num 26"/>
    <w:qFormat/>
  </w:style>
  <w:style w:type="numbering" w:styleId="RTFNum27">
    <w:name w:val="RTF_Num 27"/>
    <w:qFormat/>
  </w:style>
  <w:style w:type="numbering" w:styleId="RTFNum28">
    <w:name w:val="RTF_Num 28"/>
    <w:qFormat/>
  </w:style>
  <w:style w:type="numbering" w:styleId="RTFNum29">
    <w:name w:val="RTF_Num 29"/>
    <w:qFormat/>
  </w:style>
  <w:style w:type="numbering" w:styleId="RTFNum30">
    <w:name w:val="RTF_Num 30"/>
    <w:qFormat/>
  </w:style>
  <w:style w:type="numbering" w:styleId="RTFNum312">
    <w:name w:val="RTF_Num 31"/>
    <w:qFormat/>
  </w:style>
  <w:style w:type="numbering" w:styleId="RTFNum32">
    <w:name w:val="RTF_Num 32"/>
    <w:qFormat/>
  </w:style>
  <w:style w:type="numbering" w:styleId="RTFNum33">
    <w:name w:val="RTF_Num 33"/>
    <w:qFormat/>
  </w:style>
  <w:style w:type="numbering" w:styleId="RTFNum34">
    <w:name w:val="RTF_Num 34"/>
    <w:qFormat/>
  </w:style>
  <w:style w:type="numbering" w:styleId="RTFNum35">
    <w:name w:val="RTF_Num 35"/>
    <w:qFormat/>
  </w:style>
  <w:style w:type="numbering" w:styleId="RTFNum36">
    <w:name w:val="RTF_Num 36"/>
    <w:qFormat/>
  </w:style>
  <w:style w:type="numbering" w:styleId="RTFNum37">
    <w:name w:val="RTF_Num 37"/>
    <w:qFormat/>
  </w:style>
  <w:style w:type="numbering" w:styleId="RTFNum38">
    <w:name w:val="RTF_Num 38"/>
    <w:qFormat/>
  </w:style>
  <w:style w:type="numbering" w:styleId="RTFNum39">
    <w:name w:val="RTF_Num 39"/>
    <w:qFormat/>
  </w:style>
  <w:style w:type="numbering" w:styleId="RTFNum40">
    <w:name w:val="RTF_Num 40"/>
    <w:qFormat/>
  </w:style>
  <w:style w:type="numbering" w:styleId="RTFNum412">
    <w:name w:val="RTF_Num 41"/>
    <w:qFormat/>
  </w:style>
  <w:style w:type="numbering" w:styleId="RTFNum42">
    <w:name w:val="RTF_Num 42"/>
    <w:qFormat/>
  </w:style>
  <w:style w:type="numbering" w:styleId="RTFNum43">
    <w:name w:val="RTF_Num 43"/>
    <w:qFormat/>
  </w:style>
  <w:style w:type="numbering" w:styleId="RTFNum44">
    <w:name w:val="RTF_Num 44"/>
    <w:qFormat/>
  </w:style>
  <w:style w:type="numbering" w:styleId="RTFNum45">
    <w:name w:val="RTF_Num 45"/>
    <w:qFormat/>
  </w:style>
  <w:style w:type="numbering" w:styleId="RTFNum46">
    <w:name w:val="RTF_Num 46"/>
    <w:qFormat/>
  </w:style>
  <w:style w:type="numbering" w:styleId="RTFNum47">
    <w:name w:val="RTF_Num 47"/>
    <w:qFormat/>
  </w:style>
  <w:style w:type="numbering" w:styleId="RTFNum48">
    <w:name w:val="RTF_Num 48"/>
    <w:qFormat/>
  </w:style>
  <w:style w:type="numbering" w:styleId="RTFNum49">
    <w:name w:val="RTF_Num 49"/>
    <w:qFormat/>
  </w:style>
  <w:style w:type="numbering" w:styleId="RTFNum50">
    <w:name w:val="RTF_Num 50"/>
    <w:qFormat/>
  </w:style>
  <w:style w:type="numbering" w:styleId="RTFNum512">
    <w:name w:val="RTF_Num 51"/>
    <w:qFormat/>
  </w:style>
  <w:style w:type="numbering" w:styleId="RTFNum52">
    <w:name w:val="RTF_Num 52"/>
    <w:qFormat/>
  </w:style>
  <w:style w:type="numbering" w:styleId="RTFNum53">
    <w:name w:val="RTF_Num 53"/>
    <w:qFormat/>
  </w:style>
  <w:style w:type="numbering" w:styleId="RTFNum54">
    <w:name w:val="RTF_Num 54"/>
    <w:qFormat/>
  </w:style>
  <w:style w:type="numbering" w:styleId="RTFNum55">
    <w:name w:val="RTF_Num 55"/>
    <w:qFormat/>
  </w:style>
  <w:style w:type="numbering" w:styleId="RTFNum56">
    <w:name w:val="RTF_Num 56"/>
    <w:qFormat/>
  </w:style>
  <w:style w:type="numbering" w:styleId="WW8Num3">
    <w:name w:val="WW8Num3"/>
    <w:qFormat/>
  </w:style>
  <w:style w:type="numbering" w:styleId="RTFNum57">
    <w:name w:val="RTF_Num 57"/>
    <w:qFormat/>
  </w:style>
  <w:style w:type="numbering" w:styleId="RTFNum58">
    <w:name w:val="RTF_Num 58"/>
    <w:qFormat/>
  </w:style>
  <w:style w:type="numbering" w:styleId="WW8Num22">
    <w:name w:val="WW8Num22"/>
    <w:qFormat/>
  </w:style>
  <w:style w:type="numbering" w:styleId="WW8Num36">
    <w:name w:val="WW8Num3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5756</TotalTime>
  <Application>LibreOffice/5.2.1.2$Windows_x86 LibreOffice_project/31dd62db80d4e60af04904455ec9c9219178d620</Application>
  <Pages>2</Pages>
  <Words>456</Words>
  <Characters>2934</Characters>
  <CharactersWithSpaces>3485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2013-10-10T12:07:13Z</dcterms:created>
  <dc:creator/>
  <dc:description/>
  <dc:language>pl-PL</dc:language>
  <cp:lastModifiedBy/>
  <cp:lastPrinted>2017-06-09T12:45:17Z</cp:lastPrinted>
  <dcterms:modified xsi:type="dcterms:W3CDTF">2018-01-23T08:51:08Z</dcterms:modified>
  <cp:revision>473</cp:revision>
  <dc:subject/>
  <dc:title/>
</cp:coreProperties>
</file>