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D0B7" w14:textId="17A4CC9F" w:rsidR="005B54BA" w:rsidRPr="00E569EF" w:rsidRDefault="00F34C64">
      <w:pPr>
        <w:pStyle w:val="Tekstpodstawowy"/>
        <w:rPr>
          <w:rFonts w:ascii="Times New Roman" w:hAnsi="Times New Roman"/>
          <w:szCs w:val="22"/>
        </w:rPr>
      </w:pPr>
      <w:r w:rsidRPr="00E569EF">
        <w:rPr>
          <w:rFonts w:ascii="Times New Roman" w:hAnsi="Times New Roman"/>
          <w:noProof/>
          <w:szCs w:val="22"/>
        </w:rPr>
        <w:drawing>
          <wp:anchor distT="0" distB="0" distL="0" distR="0" simplePos="0" relativeHeight="2" behindDoc="0" locked="0" layoutInCell="0" allowOverlap="1" wp14:anchorId="590A5825" wp14:editId="7CE4609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720" cy="34417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DE800" w14:textId="34DD2035" w:rsidR="005B54BA" w:rsidRPr="00627448" w:rsidRDefault="00E569EF">
      <w:pPr>
        <w:pStyle w:val="Tekstpodstawowy"/>
        <w:rPr>
          <w:rFonts w:ascii="Times New Roman" w:hAnsi="Times New Roman"/>
          <w:szCs w:val="22"/>
        </w:rPr>
      </w:pPr>
      <w:r w:rsidRPr="00627448">
        <w:rPr>
          <w:rFonts w:ascii="Times New Roman" w:hAnsi="Times New Roman"/>
          <w:szCs w:val="22"/>
        </w:rPr>
        <w:t>Oznaczenie sprawy:17/ZP/2023                                                                          Załącznik Nr 2 do SWZ</w:t>
      </w:r>
    </w:p>
    <w:p w14:paraId="121DF7EF" w14:textId="1D2FB57C" w:rsidR="00E569EF" w:rsidRPr="00E569EF" w:rsidRDefault="00E569EF">
      <w:pPr>
        <w:pStyle w:val="Tekstpodstawowy"/>
        <w:rPr>
          <w:rFonts w:ascii="Times New Roman" w:hAnsi="Times New Roman"/>
          <w:szCs w:val="22"/>
        </w:rPr>
      </w:pPr>
      <w:r w:rsidRPr="00627448">
        <w:rPr>
          <w:rFonts w:ascii="Times New Roman" w:hAnsi="Times New Roman"/>
          <w:szCs w:val="22"/>
        </w:rPr>
        <w:t>Zadanie 3 – Switch 48 port</w:t>
      </w:r>
      <w:r w:rsidR="002C5F77" w:rsidRPr="00627448">
        <w:rPr>
          <w:rFonts w:ascii="Times New Roman" w:hAnsi="Times New Roman"/>
          <w:szCs w:val="22"/>
        </w:rPr>
        <w:t>ów</w:t>
      </w:r>
    </w:p>
    <w:tbl>
      <w:tblPr>
        <w:tblStyle w:val="TableNormal"/>
        <w:tblW w:w="9493" w:type="dxa"/>
        <w:tblInd w:w="-1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9"/>
        <w:gridCol w:w="1649"/>
        <w:gridCol w:w="4757"/>
        <w:gridCol w:w="2638"/>
      </w:tblGrid>
      <w:tr w:rsidR="005B54BA" w:rsidRPr="00E569EF" w14:paraId="258144D7" w14:textId="77777777">
        <w:trPr>
          <w:trHeight w:val="590"/>
        </w:trPr>
        <w:tc>
          <w:tcPr>
            <w:tcW w:w="449" w:type="dxa"/>
            <w:tcBorders>
              <w:top w:val="single" w:sz="4" w:space="0" w:color="5B9BD4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137A3AF1" w14:textId="449AA57D" w:rsidR="005B54BA" w:rsidRPr="00E569EF" w:rsidRDefault="004A193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49" w:type="dxa"/>
            <w:tcBorders>
              <w:top w:val="single" w:sz="4" w:space="0" w:color="5B9BD4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333FB74" w14:textId="12D8F570" w:rsidR="005B54BA" w:rsidRPr="00E569EF" w:rsidRDefault="004A193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4756" w:type="dxa"/>
            <w:tcBorders>
              <w:top w:val="single" w:sz="4" w:space="0" w:color="5B9BD4"/>
              <w:left w:val="single" w:sz="4" w:space="0" w:color="8EAADB"/>
              <w:bottom w:val="single" w:sz="4" w:space="0" w:color="8EAADB"/>
            </w:tcBorders>
          </w:tcPr>
          <w:p w14:paraId="0C426B0F" w14:textId="5E0BA26F" w:rsidR="005B54BA" w:rsidRPr="00E569EF" w:rsidRDefault="004A193A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Wymagane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parametry</w:t>
            </w:r>
            <w:proofErr w:type="spellEnd"/>
          </w:p>
        </w:tc>
        <w:tc>
          <w:tcPr>
            <w:tcW w:w="2638" w:type="dxa"/>
            <w:tcBorders>
              <w:top w:val="single" w:sz="4" w:space="0" w:color="5B9BD4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6B11D0B9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Potwierdzenie spełnienia parametru</w:t>
            </w:r>
            <w:r w:rsidRPr="00E569EF">
              <w:rPr>
                <w:rFonts w:ascii="Times New Roman" w:hAnsi="Times New Roman" w:cs="Times New Roman"/>
              </w:rPr>
              <w:br/>
              <w:t>TAK/NIE</w:t>
            </w:r>
          </w:p>
        </w:tc>
      </w:tr>
      <w:tr w:rsidR="005B54BA" w:rsidRPr="00E569EF" w14:paraId="796474A0" w14:textId="77777777">
        <w:trPr>
          <w:trHeight w:val="1058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6B3ABADA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71F39BA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F66A37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F558B0E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Typ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i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liczba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portów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3FC49870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48 porty 10/100/1000 Mb/s, 2 porty uplink RJ45 1 GbE, 4 porty uplink SFP 1 GbE z </w:t>
            </w:r>
            <w:proofErr w:type="spellStart"/>
            <w:r w:rsidRPr="00E569EF">
              <w:rPr>
                <w:rFonts w:ascii="Times New Roman" w:hAnsi="Times New Roman" w:cs="Times New Roman"/>
              </w:rPr>
              <w:t>możliwością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rozbudowy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do 4 </w:t>
            </w:r>
            <w:proofErr w:type="spellStart"/>
            <w:r w:rsidRPr="00E569EF">
              <w:rPr>
                <w:rFonts w:ascii="Times New Roman" w:hAnsi="Times New Roman" w:cs="Times New Roman"/>
              </w:rPr>
              <w:t>portów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SFP+ 10 GbE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7418E05E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774A02DE" w14:textId="77777777">
        <w:trPr>
          <w:trHeight w:val="661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1DDB0F58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E86820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9EF8691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Obudowa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650A34BA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Możliwość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zainstalowania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E569EF">
              <w:rPr>
                <w:rFonts w:ascii="Times New Roman" w:hAnsi="Times New Roman" w:cs="Times New Roman"/>
              </w:rPr>
              <w:t>standardowej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szafie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RACK 19” – 1U</w:t>
            </w:r>
          </w:p>
          <w:p w14:paraId="5395AB6C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2FDE1EA2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2C4F88BC" w14:textId="77777777">
        <w:trPr>
          <w:trHeight w:val="588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6D5CEC91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0EC6280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Przepustowość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rutowania</w:t>
            </w:r>
            <w:proofErr w:type="spellEnd"/>
            <w:r w:rsidRPr="00E569EF">
              <w:rPr>
                <w:rFonts w:ascii="Times New Roman" w:hAnsi="Times New Roman" w:cs="Times New Roman"/>
              </w:rPr>
              <w:t>/</w:t>
            </w:r>
            <w:proofErr w:type="spellStart"/>
            <w:r w:rsidRPr="00E569EF">
              <w:rPr>
                <w:rFonts w:ascii="Times New Roman" w:hAnsi="Times New Roman" w:cs="Times New Roman"/>
              </w:rPr>
              <w:t>przełączania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278B8AAA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Min. 180 Gb/s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2F535E25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2616002B" w14:textId="77777777">
        <w:trPr>
          <w:trHeight w:val="587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023D5F3B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77B0020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Przepustowość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14C08D1E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Min. 98 </w:t>
            </w:r>
            <w:proofErr w:type="spellStart"/>
            <w:r w:rsidRPr="00E569EF">
              <w:rPr>
                <w:rFonts w:ascii="Times New Roman" w:hAnsi="Times New Roman" w:cs="Times New Roman"/>
              </w:rPr>
              <w:t>Mp</w:t>
            </w:r>
            <w:proofErr w:type="spellEnd"/>
            <w:r w:rsidRPr="00E569EF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39F278ED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70A8E50D" w14:textId="77777777">
        <w:trPr>
          <w:trHeight w:val="587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3511282B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E3EDC73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Przepustowość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zagregowana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7C9C1804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Min. 320Gb/s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0B52558E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44B36CFF" w14:textId="77777777">
        <w:trPr>
          <w:trHeight w:val="590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1A6813F8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25D2C878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Wielkość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tabeli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adresów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22615FFD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16384 </w:t>
            </w:r>
            <w:proofErr w:type="spellStart"/>
            <w:r w:rsidRPr="00E569EF">
              <w:rPr>
                <w:rFonts w:ascii="Times New Roman" w:hAnsi="Times New Roman" w:cs="Times New Roman"/>
              </w:rPr>
              <w:t>wejścia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0CAC2FD3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051441BC" w14:textId="77777777">
        <w:trPr>
          <w:trHeight w:val="587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32694715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BD8BF4F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Szyfrowanie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569EF">
              <w:rPr>
                <w:rFonts w:ascii="Times New Roman" w:hAnsi="Times New Roman" w:cs="Times New Roman"/>
              </w:rPr>
              <w:t>bezpieczeństwo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152FE28A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802.1x RADIUS, AES, EAP, SSH-2  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69127B62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7826E3C6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752A88AF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CA9509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Pojemność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pamięci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wewnętrznej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25C47707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1024 MB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7D170BA6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33E98E3A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06FD2888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0897CA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Funkcje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wirtualnej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sieci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LAN</w:t>
            </w:r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19B3E492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Stacked VLAN, Private VLAN, Tagged VLAN  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255473C2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00B9144F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22021C1E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5FD6498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Protokoły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zarządzające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2508EFD1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HTTP/HTTPS, SNMPv1/v2c/v3, Telnet  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62E4DB2C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7797E94A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574CCEB3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A2851E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Standardy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komunikacyjne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4DD997E7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IEEE 802.1AX, IEEE 802.1D, IEEE 802.1Q, IEEE 802.1ab, IEEE 802.1p, IEEE 802.1s, IEEE 802.1w,</w:t>
            </w:r>
            <w:r w:rsidRPr="00E569EF">
              <w:rPr>
                <w:rFonts w:ascii="Times New Roman" w:hAnsi="Times New Roman" w:cs="Times New Roman"/>
              </w:rPr>
              <w:t xml:space="preserve"> IEEE 802.1x, IEEE 802.3, IEEE 802.3ab, IEEE 802.3ad, IEEE 802.3ae, IEEE 802.3bz, IEEE 802.3u, IEEE 802.3x, IEEE 802.3z   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2FA5681D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49B2499E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19DDA409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6EAB353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Protokół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routingu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54EE70FC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OSPF, RIP-1, RIP-2, VRRP, OSPFv2, PIM-SM, OSPFv3, PIM-SSM, VRRPE, routing </w:t>
            </w:r>
            <w:proofErr w:type="spellStart"/>
            <w:r w:rsidRPr="00E569EF">
              <w:rPr>
                <w:rFonts w:ascii="Times New Roman" w:hAnsi="Times New Roman" w:cs="Times New Roman"/>
              </w:rPr>
              <w:t>statyczny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IPv4, routing </w:t>
            </w:r>
            <w:proofErr w:type="spellStart"/>
            <w:r w:rsidRPr="00E569EF">
              <w:rPr>
                <w:rFonts w:ascii="Times New Roman" w:hAnsi="Times New Roman" w:cs="Times New Roman"/>
              </w:rPr>
              <w:t>statyczny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IPv6, ECMP, policy-based routing (PBR), </w:t>
            </w:r>
            <w:proofErr w:type="spellStart"/>
            <w:r w:rsidRPr="00E569EF">
              <w:rPr>
                <w:rFonts w:ascii="Times New Roman" w:hAnsi="Times New Roman" w:cs="Times New Roman"/>
              </w:rPr>
              <w:t>RIPng</w:t>
            </w:r>
            <w:proofErr w:type="spellEnd"/>
            <w:r w:rsidRPr="00E569EF">
              <w:rPr>
                <w:rFonts w:ascii="Times New Roman" w:hAnsi="Times New Roman" w:cs="Times New Roman"/>
              </w:rPr>
              <w:t>, VRRPv3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5A715AB9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3CA0A268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57BF0724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681DAA0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Pojemność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4EAD1134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Interfejsy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wirtualne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569EF">
              <w:rPr>
                <w:rFonts w:ascii="Times New Roman" w:hAnsi="Times New Roman" w:cs="Times New Roman"/>
              </w:rPr>
              <w:t>VLANy</w:t>
            </w:r>
            <w:proofErr w:type="spellEnd"/>
            <w:r w:rsidRPr="00E569EF">
              <w:rPr>
                <w:rFonts w:ascii="Times New Roman" w:hAnsi="Times New Roman" w:cs="Times New Roman"/>
              </w:rPr>
              <w:t>): min. 4095</w:t>
            </w:r>
            <w:r w:rsidRPr="00E569EF">
              <w:rPr>
                <w:rFonts w:ascii="Times New Roman" w:hAnsi="Times New Roman" w:cs="Times New Roman"/>
              </w:rPr>
              <w:br/>
            </w:r>
            <w:proofErr w:type="spellStart"/>
            <w:r w:rsidRPr="00E569EF">
              <w:rPr>
                <w:rFonts w:ascii="Times New Roman" w:hAnsi="Times New Roman" w:cs="Times New Roman"/>
              </w:rPr>
              <w:t>Segmenty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STP: min. 254</w:t>
            </w:r>
            <w:r w:rsidRPr="00E569EF">
              <w:rPr>
                <w:rFonts w:ascii="Times New Roman" w:hAnsi="Times New Roman" w:cs="Times New Roman"/>
              </w:rPr>
              <w:br/>
            </w:r>
            <w:proofErr w:type="spellStart"/>
            <w:r w:rsidRPr="00E569EF">
              <w:rPr>
                <w:rFonts w:ascii="Times New Roman" w:hAnsi="Times New Roman" w:cs="Times New Roman"/>
              </w:rPr>
              <w:t>Wpisy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ARP: min. </w:t>
            </w:r>
            <w:r w:rsidRPr="00E569EF">
              <w:rPr>
                <w:rFonts w:ascii="Times New Roman" w:hAnsi="Times New Roman" w:cs="Times New Roman"/>
              </w:rPr>
              <w:t>2048</w:t>
            </w:r>
            <w:r w:rsidRPr="00E569EF">
              <w:rPr>
                <w:rFonts w:ascii="Times New Roman" w:hAnsi="Times New Roman" w:cs="Times New Roman"/>
              </w:rPr>
              <w:br/>
            </w:r>
            <w:proofErr w:type="spellStart"/>
            <w:r w:rsidRPr="00E569EF">
              <w:rPr>
                <w:rFonts w:ascii="Times New Roman" w:hAnsi="Times New Roman" w:cs="Times New Roman"/>
              </w:rPr>
              <w:t>Sprzętowa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ścieżka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QoS: min. 8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6079D300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26EEA007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79834FD6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D9ABFB3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Wielkość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tablicy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adresów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MAC</w:t>
            </w:r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74B912B6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Min. 16384 </w:t>
            </w:r>
            <w:proofErr w:type="spellStart"/>
            <w:r w:rsidRPr="00E569EF">
              <w:rPr>
                <w:rFonts w:ascii="Times New Roman" w:hAnsi="Times New Roman" w:cs="Times New Roman"/>
              </w:rPr>
              <w:t>wpisów</w:t>
            </w:r>
            <w:proofErr w:type="spellEnd"/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7B0FC467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23D4FAD3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2B7DE2B8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76F6CD6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Wymagana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funkcjonalność</w:t>
            </w:r>
            <w:proofErr w:type="spellEnd"/>
          </w:p>
          <w:p w14:paraId="28AF05DD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5D80CAFF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zapobieganie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atakom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typu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DoS, </w:t>
            </w:r>
          </w:p>
          <w:p w14:paraId="30F87F11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obsługa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DiffServ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, </w:t>
            </w:r>
          </w:p>
          <w:p w14:paraId="482F6E44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ważone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cykliczne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kolejkowanie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(WRR), </w:t>
            </w:r>
          </w:p>
          <w:p w14:paraId="5EA5FE4B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obsługa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IPv6, </w:t>
            </w:r>
          </w:p>
          <w:p w14:paraId="21196A0D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sFlow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, </w:t>
            </w:r>
          </w:p>
          <w:p w14:paraId="6706304A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technologia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Virtual Cable Test (VCT), </w:t>
            </w:r>
          </w:p>
          <w:p w14:paraId="7377703B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nasłuchiwanie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DHCP, </w:t>
            </w:r>
          </w:p>
          <w:p w14:paraId="4819701C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obsługa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list </w:t>
            </w:r>
            <w:proofErr w:type="spellStart"/>
            <w:r w:rsidRPr="00E569EF">
              <w:rPr>
                <w:rFonts w:ascii="Times New Roman" w:hAnsi="Times New Roman" w:cs="Times New Roman"/>
              </w:rPr>
              <w:t>dostępu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(ACL), </w:t>
            </w:r>
          </w:p>
          <w:p w14:paraId="12EEB293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Quality of Service (QoS), </w:t>
            </w:r>
          </w:p>
          <w:p w14:paraId="6A45610E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serwer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DHCP, </w:t>
            </w:r>
          </w:p>
          <w:p w14:paraId="02A94403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Dynamic ARP Inspection (DAI), </w:t>
            </w:r>
          </w:p>
          <w:p w14:paraId="32A2C61C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Trusted Platform Module (TPM), </w:t>
            </w:r>
          </w:p>
          <w:p w14:paraId="299701A8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obsługa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IPv4,  </w:t>
            </w:r>
          </w:p>
          <w:p w14:paraId="21276093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przekaźnik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DHCP, </w:t>
            </w:r>
          </w:p>
          <w:p w14:paraId="7EB0B95F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Class of Service (</w:t>
            </w:r>
            <w:proofErr w:type="spellStart"/>
            <w:r w:rsidRPr="00E569EF">
              <w:rPr>
                <w:rFonts w:ascii="Times New Roman" w:hAnsi="Times New Roman" w:cs="Times New Roman"/>
              </w:rPr>
              <w:t>CoS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), </w:t>
            </w:r>
          </w:p>
          <w:p w14:paraId="5CC466C6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 xml:space="preserve">Strict Priority (SP), </w:t>
            </w:r>
          </w:p>
          <w:p w14:paraId="75A79E1B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znaczniki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VLAN, </w:t>
            </w:r>
          </w:p>
          <w:p w14:paraId="3A696C64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uwierzytelnianie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802.1x, </w:t>
            </w:r>
          </w:p>
          <w:p w14:paraId="79701875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Type of Service (</w:t>
            </w:r>
            <w:proofErr w:type="spellStart"/>
            <w:r w:rsidRPr="00E569EF">
              <w:rPr>
                <w:rFonts w:ascii="Times New Roman" w:hAnsi="Times New Roman" w:cs="Times New Roman"/>
              </w:rPr>
              <w:t>ToS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), </w:t>
            </w:r>
          </w:p>
          <w:p w14:paraId="5C67426E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obsługuje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DiffServ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Code Point (DSCP), </w:t>
            </w:r>
          </w:p>
          <w:p w14:paraId="006C4E9B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obsługuje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OpenFlow, </w:t>
            </w:r>
          </w:p>
          <w:p w14:paraId="56103F36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Network Timing Protocol (NTP)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4855EF95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66184C02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3CA7465F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8437C8E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Rodzaj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chłodzenia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500E4FD1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Pasywne</w:t>
            </w:r>
            <w:proofErr w:type="spellEnd"/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5018E50F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01E3165D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8EAADB"/>
              <w:right w:val="single" w:sz="4" w:space="0" w:color="8EAADB"/>
            </w:tcBorders>
          </w:tcPr>
          <w:p w14:paraId="4D28E794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5490676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E569EF">
              <w:rPr>
                <w:rFonts w:ascii="Times New Roman" w:hAnsi="Times New Roman" w:cs="Times New Roman"/>
              </w:rPr>
              <w:t>Maksymalne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zużycie</w:t>
            </w:r>
            <w:proofErr w:type="spellEnd"/>
            <w:r w:rsidRPr="00E56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9EF">
              <w:rPr>
                <w:rFonts w:ascii="Times New Roman" w:hAnsi="Times New Roman" w:cs="Times New Roman"/>
              </w:rPr>
              <w:t>mocy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</w:tcBorders>
          </w:tcPr>
          <w:p w14:paraId="4D89B3B5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36 W</w:t>
            </w:r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5B9BD4"/>
            </w:tcBorders>
          </w:tcPr>
          <w:p w14:paraId="36C0149A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B54BA" w:rsidRPr="00E569EF" w14:paraId="111EDCA3" w14:textId="77777777">
        <w:trPr>
          <w:trHeight w:val="589"/>
        </w:trPr>
        <w:tc>
          <w:tcPr>
            <w:tcW w:w="449" w:type="dxa"/>
            <w:tcBorders>
              <w:top w:val="single" w:sz="4" w:space="0" w:color="8EAADB"/>
              <w:left w:val="single" w:sz="4" w:space="0" w:color="5B9BD4"/>
              <w:bottom w:val="single" w:sz="4" w:space="0" w:color="5B9BD4"/>
              <w:right w:val="single" w:sz="4" w:space="0" w:color="8EAADB"/>
            </w:tcBorders>
          </w:tcPr>
          <w:p w14:paraId="7FDDAD05" w14:textId="77777777" w:rsidR="005B54BA" w:rsidRPr="00E569EF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E569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49" w:type="dxa"/>
            <w:tcBorders>
              <w:top w:val="single" w:sz="4" w:space="0" w:color="8EAADB"/>
              <w:left w:val="single" w:sz="4" w:space="0" w:color="8EAADB"/>
              <w:bottom w:val="single" w:sz="4" w:space="0" w:color="5B9BD4"/>
              <w:right w:val="single" w:sz="4" w:space="0" w:color="8EAADB"/>
            </w:tcBorders>
          </w:tcPr>
          <w:p w14:paraId="7643A4B5" w14:textId="77777777" w:rsidR="005B54BA" w:rsidRPr="00F34C64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F34C64">
              <w:rPr>
                <w:rFonts w:ascii="Times New Roman" w:hAnsi="Times New Roman" w:cs="Times New Roman"/>
              </w:rPr>
              <w:t>Gwarancja</w:t>
            </w:r>
            <w:proofErr w:type="spellEnd"/>
          </w:p>
        </w:tc>
        <w:tc>
          <w:tcPr>
            <w:tcW w:w="4756" w:type="dxa"/>
            <w:tcBorders>
              <w:top w:val="single" w:sz="4" w:space="0" w:color="8EAADB"/>
              <w:left w:val="single" w:sz="4" w:space="0" w:color="8EAADB"/>
              <w:bottom w:val="single" w:sz="4" w:space="0" w:color="5B9BD4"/>
            </w:tcBorders>
          </w:tcPr>
          <w:p w14:paraId="1C12A952" w14:textId="77777777" w:rsidR="005B54BA" w:rsidRPr="00F34C64" w:rsidRDefault="00F34C64">
            <w:pPr>
              <w:pStyle w:val="TableParagraph"/>
              <w:rPr>
                <w:rFonts w:ascii="Times New Roman" w:hAnsi="Times New Roman" w:cs="Times New Roman"/>
              </w:rPr>
            </w:pPr>
            <w:r w:rsidRPr="00F34C64">
              <w:rPr>
                <w:rFonts w:ascii="Times New Roman" w:hAnsi="Times New Roman" w:cs="Times New Roman"/>
              </w:rPr>
              <w:t xml:space="preserve">Minimum 36 </w:t>
            </w:r>
            <w:proofErr w:type="spellStart"/>
            <w:r w:rsidRPr="00F34C64">
              <w:rPr>
                <w:rFonts w:ascii="Times New Roman" w:hAnsi="Times New Roman" w:cs="Times New Roman"/>
              </w:rPr>
              <w:t>miesięczna</w:t>
            </w:r>
            <w:proofErr w:type="spellEnd"/>
            <w:r w:rsidRPr="00F3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C64">
              <w:rPr>
                <w:rFonts w:ascii="Times New Roman" w:hAnsi="Times New Roman" w:cs="Times New Roman"/>
              </w:rPr>
              <w:t>gwarancja</w:t>
            </w:r>
            <w:proofErr w:type="spellEnd"/>
            <w:r w:rsidRPr="00F34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C64">
              <w:rPr>
                <w:rFonts w:ascii="Times New Roman" w:hAnsi="Times New Roman" w:cs="Times New Roman"/>
              </w:rPr>
              <w:t>producenta</w:t>
            </w:r>
            <w:proofErr w:type="spellEnd"/>
          </w:p>
        </w:tc>
        <w:tc>
          <w:tcPr>
            <w:tcW w:w="2638" w:type="dxa"/>
            <w:tcBorders>
              <w:top w:val="single" w:sz="4" w:space="0" w:color="8EAADB"/>
              <w:left w:val="single" w:sz="4" w:space="0" w:color="8EAADB"/>
              <w:bottom w:val="single" w:sz="4" w:space="0" w:color="5B9BD4"/>
              <w:right w:val="single" w:sz="4" w:space="0" w:color="5B9BD4"/>
            </w:tcBorders>
          </w:tcPr>
          <w:p w14:paraId="12F6621E" w14:textId="77777777" w:rsidR="005B54BA" w:rsidRPr="00E569EF" w:rsidRDefault="005B5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803147B" w14:textId="77777777" w:rsidR="005B54BA" w:rsidRPr="00E569EF" w:rsidRDefault="005B54BA">
      <w:pPr>
        <w:rPr>
          <w:rFonts w:ascii="Times New Roman" w:hAnsi="Times New Roman"/>
          <w:szCs w:val="22"/>
        </w:rPr>
      </w:pPr>
    </w:p>
    <w:p w14:paraId="5935A686" w14:textId="77777777" w:rsidR="005B54BA" w:rsidRPr="00E569EF" w:rsidRDefault="005B54BA">
      <w:pPr>
        <w:rPr>
          <w:rFonts w:ascii="Times New Roman" w:hAnsi="Times New Roman"/>
          <w:szCs w:val="22"/>
        </w:rPr>
      </w:pPr>
    </w:p>
    <w:p w14:paraId="7A423579" w14:textId="77777777" w:rsidR="005B54BA" w:rsidRPr="00E569EF" w:rsidRDefault="00F34C64">
      <w:pPr>
        <w:rPr>
          <w:rFonts w:ascii="Times New Roman" w:hAnsi="Times New Roman"/>
          <w:szCs w:val="22"/>
        </w:rPr>
      </w:pPr>
      <w:r w:rsidRPr="00E569EF">
        <w:rPr>
          <w:rFonts w:ascii="Times New Roman" w:hAnsi="Times New Roman"/>
          <w:szCs w:val="22"/>
        </w:rPr>
        <w:t xml:space="preserve">W ramach dostawy Wykonawca powinien dostarczyć wymaganą ilość wkładek światłowodowych odpowiednich do połączenia dwóch stron tj. dostarczonego urządzenia z urządzeniem w serwerowni </w:t>
      </w:r>
      <w:r w:rsidRPr="00E569EF">
        <w:rPr>
          <w:rFonts w:ascii="Times New Roman" w:hAnsi="Times New Roman"/>
          <w:szCs w:val="22"/>
        </w:rPr>
        <w:t>(odległość pomiędzy urządzeniami to 500-700m).</w:t>
      </w:r>
    </w:p>
    <w:sectPr w:rsidR="005B54BA" w:rsidRPr="00E569E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A"/>
    <w:rsid w:val="002C5F77"/>
    <w:rsid w:val="004A193A"/>
    <w:rsid w:val="005B54BA"/>
    <w:rsid w:val="00627448"/>
    <w:rsid w:val="00766F04"/>
    <w:rsid w:val="00B83780"/>
    <w:rsid w:val="00E462D0"/>
    <w:rsid w:val="00E569EF"/>
    <w:rsid w:val="00F3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25BE"/>
  <w15:docId w15:val="{92BA71D6-B27D-478A-BD33-BF2EAF80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EA4"/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pozycja">
    <w:name w:val="Tabela pozycja"/>
    <w:basedOn w:val="Normalny"/>
    <w:qFormat/>
    <w:rsid w:val="00AB6EA4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AB6EA4"/>
    <w:pPr>
      <w:ind w:left="720"/>
    </w:pPr>
    <w:rPr>
      <w:rFonts w:ascii="Calibri" w:hAnsi="Calibri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844E7"/>
    <w:pPr>
      <w:widowControl w:val="0"/>
    </w:pPr>
    <w:rPr>
      <w:rFonts w:ascii="Calibri" w:eastAsia="Calibri" w:hAnsi="Calibri" w:cs="Calibri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844E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18108-38f5-4036-bec0-d520fc9b95d7">
      <Terms xmlns="http://schemas.microsoft.com/office/infopath/2007/PartnerControls"/>
    </lcf76f155ced4ddcb4097134ff3c332f>
    <TaxCatchAll xmlns="08271764-d053-4f62-bdba-5f6450a5b3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2DAB90AF1FD4F8241D379A8803472" ma:contentTypeVersion="15" ma:contentTypeDescription="Utwórz nowy dokument." ma:contentTypeScope="" ma:versionID="22fd59b56bac477a5238a6b0f481be15">
  <xsd:schema xmlns:xsd="http://www.w3.org/2001/XMLSchema" xmlns:xs="http://www.w3.org/2001/XMLSchema" xmlns:p="http://schemas.microsoft.com/office/2006/metadata/properties" xmlns:ns2="a7c18108-38f5-4036-bec0-d520fc9b95d7" xmlns:ns3="08271764-d053-4f62-bdba-5f6450a5b3f9" targetNamespace="http://schemas.microsoft.com/office/2006/metadata/properties" ma:root="true" ma:fieldsID="d2bb3216aebf32687a68255b3dd6d4a9" ns2:_="" ns3:_="">
    <xsd:import namespace="a7c18108-38f5-4036-bec0-d520fc9b95d7"/>
    <xsd:import namespace="08271764-d053-4f62-bdba-5f6450a5b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18108-38f5-4036-bec0-d520fc9b9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16de1eda-2ace-4da8-9663-3a94e9ff3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71764-d053-4f62-bdba-5f6450a5b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e35efb-7e71-44ed-8f8b-94b80cff64a8}" ma:internalName="TaxCatchAll" ma:showField="CatchAllData" ma:web="08271764-d053-4f62-bdba-5f6450a5b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1AC62-2626-43B8-86BF-AA0DDA39119C}">
  <ds:schemaRefs>
    <ds:schemaRef ds:uri="http://schemas.microsoft.com/office/2006/metadata/properties"/>
    <ds:schemaRef ds:uri="http://schemas.microsoft.com/office/infopath/2007/PartnerControls"/>
    <ds:schemaRef ds:uri="a7c18108-38f5-4036-bec0-d520fc9b95d7"/>
    <ds:schemaRef ds:uri="08271764-d053-4f62-bdba-5f6450a5b3f9"/>
  </ds:schemaRefs>
</ds:datastoreItem>
</file>

<file path=customXml/itemProps2.xml><?xml version="1.0" encoding="utf-8"?>
<ds:datastoreItem xmlns:ds="http://schemas.openxmlformats.org/officeDocument/2006/customXml" ds:itemID="{CE8F2D99-3ACB-46CD-95F1-465D949D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18108-38f5-4036-bec0-d520fc9b95d7"/>
    <ds:schemaRef ds:uri="08271764-d053-4f62-bdba-5f6450a5b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5AF87-23D7-41B5-A3B1-A6D75045F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C65EB7-B034-4349-A512-0A08BAE7F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Marianna Maj</cp:lastModifiedBy>
  <cp:revision>9</cp:revision>
  <dcterms:created xsi:type="dcterms:W3CDTF">2023-08-30T17:19:00Z</dcterms:created>
  <dcterms:modified xsi:type="dcterms:W3CDTF">2023-10-02T07:24:00Z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0x010100D562DAB90AF1FD4F8241D379A8803472</vt:lpwstr>
  </property>
  <property fmtid="{D5CDD505-2E9C-101B-9397-08002B2CF9AE}" pid="3" name="MediaServiceImageTags">
    <vt:lpwstr/>
  </property>
</Properties>
</file>