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 xml:space="preserve">Oznaczenie sprawy: </w:t>
      </w:r>
      <w:r>
        <w:rPr>
          <w:b w:val="false"/>
          <w:sz w:val="22"/>
          <w:szCs w:val="22"/>
        </w:rPr>
        <w:t>2</w:t>
      </w:r>
      <w:r>
        <w:rPr>
          <w:b w:val="false"/>
          <w:sz w:val="22"/>
          <w:szCs w:val="22"/>
        </w:rPr>
        <w:t>8/2021                                                 Załącznik Nr 3 do  Zaproszenia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sz w:val="22"/>
          <w:szCs w:val="22"/>
        </w:rPr>
        <w:t xml:space="preserve">                                          </w:t>
      </w:r>
      <w:r>
        <w:rPr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Projekt umowy dostawy nr ___________</w:t>
      </w:r>
    </w:p>
    <w:p>
      <w:pPr>
        <w:pStyle w:val="Tytu"/>
        <w:jc w:val="left"/>
        <w:rPr>
          <w:rFonts w:ascii="Times New Roman" w:hAnsi="Times New Roman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sz w:val="22"/>
          <w:szCs w:val="22"/>
        </w:rPr>
      </w:r>
    </w:p>
    <w:p>
      <w:pPr>
        <w:pStyle w:val="Tytu"/>
        <w:jc w:val="left"/>
        <w:rPr>
          <w:rFonts w:ascii="Times New Roman" w:hAnsi="Times New Roman"/>
          <w:b w:val="false"/>
          <w:b w:val="false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b w:val="false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Samodzielnym Publicznym Zespołem Opieki Zdrowotnej w Proszowicach, z siedzibą</w:t>
        <w:br/>
        <w:t>w Proszowicach</w:t>
      </w:r>
      <w:r>
        <w:rPr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  <w:br/>
        <w:t>XII Wydział Gospodarczy Krajowego Rejestru Sądowego  KRS numer: 0000003923,</w:t>
        <w:br/>
        <w:t>NIP: 682-14-36-049, REGON: 000300593, zwany w dalszej części „</w:t>
      </w:r>
      <w:bookmarkStart w:id="4" w:name="__DdeLink__938_1733179380"/>
      <w:r>
        <w:rPr>
          <w:sz w:val="22"/>
          <w:szCs w:val="22"/>
        </w:rPr>
        <w:t>Zamawiający</w:t>
      </w:r>
      <w:bookmarkEnd w:id="4"/>
      <w:r>
        <w:rPr>
          <w:sz w:val="22"/>
          <w:szCs w:val="22"/>
        </w:rPr>
        <w:t>m” lub „Odbiorcą”, który reprezentuje: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p. o. </w:t>
      </w:r>
      <w:r>
        <w:rPr>
          <w:sz w:val="22"/>
          <w:szCs w:val="22"/>
        </w:rPr>
        <w:t>Dyrektor</w:t>
      </w: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SP ZOZ w Proszowicach –  </w:t>
      </w:r>
      <w:r>
        <w:rPr>
          <w:sz w:val="22"/>
          <w:szCs w:val="22"/>
        </w:rPr>
        <w:t>dr n. med. Witold Mierniczek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>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Niniejsze postępowanie prowadzone jest bez stosowania przepisów ustawy z dnia 19 września 2019 r.  Prawo Zamówień Publicznych (Dz. U. z 2019 r., poz. 2019 z późniejszymi zmianami). </w:t>
      </w:r>
    </w:p>
    <w:p>
      <w:pPr>
        <w:pStyle w:val="Normal"/>
        <w:widowControl w:val="false"/>
        <w:tabs>
          <w:tab w:val="right" w:pos="7560" w:leader="none"/>
        </w:tabs>
        <w:spacing w:lineRule="atLeast" w:line="10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Przedmiot umowy.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sz w:val="22"/>
          <w:szCs w:val="22"/>
        </w:rPr>
        <w:t xml:space="preserve">Na podstawie niniejszej umowy Wykonawca zobowiązuje się dostarczyć </w:t>
      </w:r>
      <w:r>
        <w:rPr>
          <w:sz w:val="22"/>
          <w:szCs w:val="22"/>
          <w:shd w:fill="FFFFFF" w:val="clear"/>
        </w:rPr>
        <w:t>fabrycznie now</w:t>
      </w:r>
      <w:r>
        <w:rPr>
          <w:sz w:val="22"/>
          <w:szCs w:val="22"/>
          <w:shd w:fill="FFFFFF" w:val="clear"/>
        </w:rPr>
        <w:t>ą lampę zabiegową na statywie jezdnym/stół diagnostyczno - zabiegowy</w:t>
      </w:r>
      <w:r>
        <w:rPr>
          <w:sz w:val="22"/>
          <w:szCs w:val="22"/>
          <w:shd w:fill="FFFFFF" w:val="clear"/>
        </w:rPr>
        <w:t xml:space="preserve"> </w:t>
      </w:r>
      <w:bookmarkStart w:id="5" w:name="__DdeLink__4587_1354059231"/>
      <w:bookmarkEnd w:id="5"/>
      <w:r>
        <w:rPr>
          <w:rFonts w:cs="Arial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typ/model _________  o parametrach i właściwościach zgodnych z opisem Zamawiającego zawartym w zapytaniu ofertowym i w złożonej w ramach postępowania 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   i założonym celem.</w:t>
      </w:r>
    </w:p>
    <w:p>
      <w:pPr>
        <w:pStyle w:val="Normal"/>
        <w:ind w:left="1361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oświadcza, że przedmiot umowy spełnia wymagania określone  w ustawie z dnia 20 maja 2010 roku o wyrobach medycznych.</w:t>
      </w:r>
    </w:p>
    <w:p>
      <w:pPr>
        <w:pStyle w:val="Normal"/>
        <w:ind w:left="1361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Wartość umowy, cena sprzedaży.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Wartość Przedmiotu Umowy strony ustalają na</w:t>
      </w:r>
      <w:r>
        <w:rPr>
          <w:b w:val="false"/>
          <w:bCs w:val="false"/>
          <w:sz w:val="22"/>
          <w:szCs w:val="22"/>
        </w:rPr>
        <w:t xml:space="preserve"> ________ </w:t>
      </w:r>
      <w:r>
        <w:rPr>
          <w:sz w:val="22"/>
          <w:szCs w:val="22"/>
        </w:rPr>
        <w:t>zł (słownie: _____________________) brutto, w tym podatek od towarów i usług VAT     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Wynagrodzenie wymienione w ustępie 2.1. Umowy obejmuje wszelkie koszty związane z dostawą, instalacją i uruchomieniem Przedmiotu umowy.                                 W szczególności, koszty transportu, ubezpieczenia, rozładunku, szkolenia personelu Zamawiającego z obsługi Przedmiotu umowy, należności celnych.</w:t>
      </w:r>
    </w:p>
    <w:p>
      <w:pPr>
        <w:pStyle w:val="Normal"/>
        <w:numPr>
          <w:ilvl w:val="0"/>
          <w:numId w:val="0"/>
        </w:numPr>
        <w:spacing w:before="0" w:after="120"/>
        <w:ind w:left="2041" w:hanging="0"/>
        <w:jc w:val="both"/>
        <w:rPr>
          <w:sz w:val="22"/>
          <w:szCs w:val="22"/>
          <w:highlight w:val="white"/>
        </w:rPr>
      </w:pPr>
      <w:r>
        <w:rPr/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sz w:val="22"/>
          <w:szCs w:val="22"/>
        </w:rPr>
        <w:t>Wykonawca zobowiązuje się dostarczyć Przedmiot Umowy do siedziby Zamawiającego własnym środkiem transportu, na własne ryzyko w terminie do</w:t>
      </w:r>
      <w:r>
        <w:rPr>
          <w:b/>
          <w:bCs/>
          <w:sz w:val="22"/>
          <w:szCs w:val="22"/>
        </w:rPr>
        <w:t xml:space="preserve"> </w:t>
        <w:br/>
        <w:t>3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 dni </w:t>
      </w:r>
      <w:r>
        <w:rPr>
          <w:sz w:val="22"/>
          <w:szCs w:val="22"/>
          <w:shd w:fill="FFFFFF" w:val="clear"/>
        </w:rPr>
        <w:t xml:space="preserve"> od dnia podpisania umowy.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Wykonawca zobowiązany jest przekaza</w:t>
      </w:r>
      <w:r>
        <w:rPr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</w:t>
        <w:br/>
        <w:t>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Odbiór Przedmiotu Umowy dokonywany zostanie przez Zamawiającego</w:t>
        <w:br/>
        <w:t>i Wykonawcę w siedzibie Zamawiającego. Na żądanie Zamawiającego przy odbiorze dokonane zostanie uruchomienie i instalacja Przedmiotu Umowy.</w:t>
        <w:br/>
        <w:t>W czasie odbioru sprawdzone zostaną kompletność dostawy, funkcjonalność</w:t>
        <w:br/>
        <w:t>i 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przypadku dostarczenia przez Dostawcę Przedmiotu Umowy wadliwego Strony sporządzą na tę okoliczność protokół lub stosowną adnotację w protokole odbioru,</w:t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 pełnowartościowy.</w:t>
        <w:br/>
        <w:t xml:space="preserve">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>
      <w:pPr>
        <w:pStyle w:val="Normal"/>
        <w:spacing w:before="0" w:after="12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/>
      </w:pPr>
      <w:r>
        <w:rPr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Z</w:t>
      </w:r>
      <w:r>
        <w:rPr>
          <w:sz w:val="22"/>
          <w:szCs w:val="22"/>
        </w:rPr>
        <w:t>miana podwykonawcy w okresie trwania umowy wymaga uzasadnienia i 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Wykonanie umowy przy udziale niezgłoszonego w ramach postępowania o udzielenie zamówienia podwykonawcy, bez uzyskania na to zgody Zamawiającego, stanowi podstawę do odstąpienia od umowy przez Zamawiającego z winy Wykonawcy</w:t>
        <w:br/>
        <w:t>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sz w:val="22"/>
          <w:szCs w:val="22"/>
        </w:rPr>
        <w:t>Wykonawca odpowiada za działania i zaniedbania podwykonawców jak za własne działania lub zaniechania.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color w:val="000000"/>
          <w:sz w:val="22"/>
          <w:szCs w:val="22"/>
        </w:rPr>
        <w:t xml:space="preserve">Zapłata nastąpi po wykonaniu umowy ze strony Wykonawcy,  w terminie do </w:t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0 dni od dnia doręczenia prawidłowo wystawionej faktury VAT, która wystawiona może być po przekazaniu Zamawiającemu Przedmiotu Umowy, co potwierdzone zostanie odpowiednim protokołem odbioru.</w:t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>
      <w:pPr>
        <w:pStyle w:val="ListParagraph"/>
        <w:rPr>
          <w:rFonts w:ascii="Times New Roman" w:hAnsi="Times New Roman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>
      <w:pPr>
        <w:pStyle w:val="Normal"/>
        <w:widowControl/>
        <w:numPr>
          <w:ilvl w:val="1"/>
          <w:numId w:val="2"/>
        </w:numPr>
        <w:suppressAutoHyphens w:val="true"/>
        <w:overflowPunct w:val="true"/>
        <w:bidi w:val="0"/>
        <w:spacing w:before="0" w:after="120"/>
        <w:ind w:left="1417" w:right="0" w:hanging="68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Dokonać bezpłatnej naprawy usterki, wady zgłoszonej przez Zamawiającego</w:t>
        <w:br/>
        <w:t>w terminie 5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Przystąpić do usunięcia wady/usterki w terminie 48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 związku z charakterem wykonywanych czynności diagnostycznych</w:t>
        <w:br/>
        <w:t>i medycznych przy wykorzystaniu Przedmiotu Umowy, w przypadku zdiagnozo</w:t>
      </w:r>
      <w:r>
        <w:rPr>
          <w:rFonts w:ascii="Times New Roman" w:hAnsi="Times New Roman"/>
          <w:sz w:val="22"/>
          <w:szCs w:val="22"/>
          <w:highlight w:val="white"/>
        </w:rPr>
        <w:t>wania usterki nie dającej możności naprawy Przedmiotu Umowy</w:t>
        <w:br/>
        <w:t>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Wyżej opisane uprawnienia mogą być objęte także zobowiązaniami gwarancyjnymi, jeśli wynikać będzie to z dokumentu gwarancyjnego a w przeciwnym razie wprost</w:t>
        <w:br/>
        <w:t>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Kary umowne.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w razie zwłoki w wykonaniu przez Wykon</w:t>
      </w:r>
      <w:r>
        <w:rPr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zwłoki;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razie odstąpienia od umowy z powodu okoliczności, leżących po stronie Wykonawcy, w przypadku opisanym w treści tej umowy oraz w przypadkach opisanych w Kodeksie cywilnym, Wykonawca zapłaci karę umowną</w:t>
        <w:br/>
        <w:t>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Łączna wartość kar umownych jakimi Zamawiający może obciążyć Dostawcę nie może przekroczyć 20% wartości Przedmiotu umowy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Postanowienia końcowe.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załączniki wymienione w treści niniejszej umowy stanowią jej 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Zmiany niniejszej umowy mogą być dokonywane pod rygorem nieważności na piśmie jedynie w okolicznościach pozwalających na taką zmianę zgodnie</w:t>
        <w:br/>
        <w:t>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</w:t>
      </w:r>
      <w:r>
        <w:rPr>
          <w:sz w:val="22"/>
          <w:szCs w:val="22"/>
        </w:rPr>
        <w:t>ę sporządzono w trzech jednobrzmiących egzemplarzach, w tym dwa egzemplarze otrzymuje Zamawiający, a jeden egzemplarz otrzymuje Dostawca.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cs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2"/>
          <w:szCs w:val="22"/>
          <w:highlight w:val="yellow"/>
        </w:rPr>
      </w:pPr>
      <w:r>
        <w:rPr>
          <w:rFonts w:cs="Times New Roman"/>
          <w:b/>
          <w:sz w:val="22"/>
          <w:szCs w:val="22"/>
          <w:highlight w:val="yellow"/>
        </w:rPr>
      </w:r>
    </w:p>
    <w:p>
      <w:pPr>
        <w:pStyle w:val="Normal"/>
        <w:widowControl/>
        <w:tabs>
          <w:tab w:val="left" w:pos="547" w:leader="none"/>
          <w:tab w:val="left" w:pos="4463" w:leader="none"/>
        </w:tabs>
        <w:suppressAutoHyphens w:val="false"/>
        <w:spacing w:before="0" w:after="0"/>
        <w:ind w:left="0" w:right="0" w:hanging="0"/>
        <w:contextualSpacing/>
        <w:jc w:val="both"/>
        <w:textAlignment w:val="auto"/>
        <w:rPr/>
      </w:pPr>
      <w:r>
        <w:rPr>
          <w:sz w:val="22"/>
          <w:szCs w:val="22"/>
          <w:lang w:eastAsia="pl-PL"/>
        </w:rPr>
        <w:t xml:space="preserve">Zgodnie 13 ust. 1 i 2 </w:t>
      </w:r>
      <w:r>
        <w:rPr>
          <w:sz w:val="22"/>
          <w:szCs w:val="22"/>
        </w:rPr>
        <w:t>rozporządzenia Parlamentu Europejskiego i Rady (UE) 2016/679</w:t>
        <w:br/>
        <w:t>z dnia 27 kwietnia 2016 r. w sprawie ochrony osób fizycznych w związku z przetwarzaniem danych osobowych i w sprawie swobodnego przepływu takich danych oraz uchylenia</w:t>
        <w:br/>
        <w:t>dyrektywy 95/46/WE (ogólne rozporządzenie o ochronie danych) (Dz. Urz. UE L 119</w:t>
        <w:br/>
        <w:t xml:space="preserve">z 04.05.2016, str. 1), </w:t>
      </w:r>
      <w:r>
        <w:rPr>
          <w:sz w:val="22"/>
          <w:szCs w:val="22"/>
          <w:lang w:eastAsia="pl-PL"/>
        </w:rPr>
        <w:t>dalej „RODO”, w zakresie danych osobowych uzyskanych w związku</w:t>
        <w:br/>
        <w:t xml:space="preserve">z realizacją niniejszej umowy informuję, że: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1) Administrator danych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2) Cel, podstawa prawna oraz czas przetwarzania danych osobowych</w:t>
      </w:r>
      <w:r>
        <w:rPr>
          <w:sz w:val="22"/>
          <w:szCs w:val="22"/>
        </w:rPr>
        <w:t xml:space="preserve">         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/>
      </w:pPr>
      <w:r>
        <w:rPr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</w:t>
      </w:r>
      <w:bookmarkStart w:id="6" w:name="__DdeLink__1224_490112215"/>
      <w:r>
        <w:rPr>
          <w:sz w:val="22"/>
          <w:szCs w:val="22"/>
        </w:rPr>
        <w:t>prowadzonego w formie zapytania ofertowego</w:t>
      </w:r>
      <w:bookmarkEnd w:id="6"/>
      <w:r>
        <w:rPr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pn. </w:t>
      </w:r>
      <w:r>
        <w:rPr>
          <w:rFonts w:cs="Arial"/>
          <w:b w:val="false"/>
          <w:bCs w:val="false"/>
          <w:sz w:val="22"/>
          <w:szCs w:val="22"/>
          <w:highlight w:val="white"/>
        </w:rPr>
        <w:t>Dostawa lampy zabiegowej i stołu diagnostyczno-zabiegowego</w:t>
      </w:r>
      <w:r>
        <w:rPr>
          <w:rFonts w:cs="Arial"/>
          <w:b w:val="false"/>
          <w:bCs w:val="false"/>
          <w:sz w:val="22"/>
          <w:szCs w:val="22"/>
        </w:rPr>
        <w:t>, oznaczenie sprawy: 28/2021.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Obowiązek podania przez Państwa danych osobowych bezpośrednio Państwa dotyczących jest wymogiem ustawowym określonym w przepisach ustawy Prawo zamówień publicznych związanych  z udziałem w postępowaniu o udzielenie zamówienia publicznego.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Konsekwencje niepodania określonych danych wynika z ustawy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a) wypełnienie obowiązku prawnego nałożonego na administratora (art. 6 ust 1 lit c RODO) zgodnie z obowiązującymi przepisami prawa, w szczególności z ustawą –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3) Ujawnienie danych osobowych oraz odbiorcy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2019 r. poz. 2019) dalej „ustawa Pzp”.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4)  Prawa osób, których dane osobowe dotyczą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Każda osoba, której dane dotyczą, ma prawo: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  <w:br/>
        <w:t>w rozsądnej wysokości, wynikającej z kosztów administracyjnych ( art. 15 ust. 3 RODO).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4. do ograniczenia przetwarzania – żądanie ograniczenia przetwarzania danych osobowych (art. 18 RODO), gdy: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5) Prezes Urzędu Ochrony Danych Osobowych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a) listownie: ul. Stawki 2, 00-193 Warszawa;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b) przez elektroniczną skrzynkę podawczą dostępną na stronie: https://www.uodo.go</w:t>
      </w:r>
      <w:r>
        <w:rPr>
          <w:rFonts w:eastAsia="Times New Roman" w:cs="Times New Roman"/>
          <w:color w:val="00000A"/>
          <w:sz w:val="22"/>
          <w:szCs w:val="22"/>
          <w:lang w:val="pl-PL" w:eastAsia="zh-CN" w:bidi="ar-SA"/>
        </w:rPr>
        <w:t>v</w:t>
      </w:r>
      <w:r>
        <w:rPr>
          <w:sz w:val="22"/>
          <w:szCs w:val="22"/>
        </w:rPr>
        <w:t>.pl/pl/p/kontakt;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c) telefonicznie: (22) 53103 00.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6) Inspektor Ochrony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7) Informacje o wymogu podania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Podanie przez Państwa danych jest wymogiem ustawowym niezbędnym do realizacji celu opisanego w pkt 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8) Zautomatyzowane podejmowanie decyzji w tym profilowanie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b/>
          <w:bCs/>
          <w:sz w:val="22"/>
          <w:szCs w:val="22"/>
        </w:rPr>
        <w:t>9)  Akty prawne przywoływane w klauzuli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b) ustawa z dnia 11 września 2019 r.  – Prawo zamówień publicznych (Dz. U. z 2019 r. poz. 2019).</w:t>
      </w:r>
    </w:p>
    <w:p>
      <w:pPr>
        <w:pStyle w:val="Normal"/>
        <w:numPr>
          <w:ilvl w:val="0"/>
          <w:numId w:val="0"/>
        </w:numPr>
        <w:ind w:left="68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sz w:val="22"/>
          <w:szCs w:val="22"/>
        </w:rPr>
        <w:t>Dostawca</w:t>
        <w:tab/>
        <w:tab/>
        <w:tab/>
        <w:tab/>
        <w:t xml:space="preserve">Odbiorca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418" w:header="0" w:top="850" w:footer="850" w:bottom="13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szCs w:val="22"/>
        <w:rFonts w:ascii="Times New Roman" w:hAnsi="Times New Roman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szCs w:val="22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1">
    <w:name w:val="WW_CharLFO12LVL1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ymbol" w:hAnsi="Symbol"/>
    </w:rPr>
  </w:style>
  <w:style w:type="character" w:styleId="RTFNum21">
    <w:name w:val="RTF_Num 2 1"/>
    <w:qFormat/>
    <w:rPr>
      <w:rFonts w:ascii="Symbol" w:hAnsi="Symbol" w:eastAsia="Symbol" w:cs="Symbol"/>
    </w:rPr>
  </w:style>
  <w:style w:type="character" w:styleId="Domylnaczcionkaakapitu">
    <w:name w:val="Domyślna czcionka akapitu"/>
    <w:qFormat/>
    <w:rPr/>
  </w:style>
  <w:style w:type="character" w:styleId="ListLabel1">
    <w:name w:val="ListLabel 1"/>
    <w:qFormat/>
    <w:rPr>
      <w:rFonts w:ascii="Arial" w:hAnsi="Arial" w:cs="OpenSymbol;Arial Unicode MS"/>
      <w:b/>
      <w:sz w:val="22"/>
    </w:rPr>
  </w:style>
  <w:style w:type="character" w:styleId="ListLabel2">
    <w:name w:val="ListLabel 2"/>
    <w:qFormat/>
    <w:rPr>
      <w:rFonts w:ascii="Arial" w:hAnsi="Arial"/>
      <w:b w:val="false"/>
      <w:i w:val="false"/>
      <w:sz w:val="22"/>
    </w:rPr>
  </w:style>
  <w:style w:type="character" w:styleId="ListLabel3">
    <w:name w:val="ListLabel 3"/>
    <w:qFormat/>
    <w:rPr>
      <w:rFonts w:ascii="Arial" w:hAnsi="Arial" w:cs="OpenSymbol;Arial Unicode MS"/>
      <w:b/>
      <w:sz w:val="22"/>
    </w:rPr>
  </w:style>
  <w:style w:type="character" w:styleId="ListLabel4">
    <w:name w:val="ListLabel 4"/>
    <w:qFormat/>
    <w:rPr>
      <w:rFonts w:ascii="Arial" w:hAnsi="Arial"/>
      <w:b w:val="false"/>
      <w:i w:val="false"/>
      <w:sz w:val="22"/>
    </w:rPr>
  </w:style>
  <w:style w:type="character" w:styleId="ListLabel5">
    <w:name w:val="ListLabel 5"/>
    <w:qFormat/>
    <w:rPr>
      <w:rFonts w:ascii="Arial" w:hAnsi="Arial" w:cs="OpenSymbol;Arial Unicode MS"/>
      <w:b/>
      <w:sz w:val="22"/>
    </w:rPr>
  </w:style>
  <w:style w:type="character" w:styleId="ListLabel6">
    <w:name w:val="ListLabel 6"/>
    <w:qFormat/>
    <w:rPr>
      <w:rFonts w:ascii="Arial" w:hAnsi="Arial"/>
      <w:b w:val="false"/>
      <w:i w:val="false"/>
      <w:sz w:val="22"/>
    </w:rPr>
  </w:style>
  <w:style w:type="character" w:styleId="ListLabel7">
    <w:name w:val="ListLabel 7"/>
    <w:qFormat/>
    <w:rPr>
      <w:rFonts w:ascii="Arial" w:hAnsi="Arial" w:cs="OpenSymbol;Arial Unicode MS"/>
      <w:b/>
      <w:sz w:val="22"/>
    </w:rPr>
  </w:style>
  <w:style w:type="character" w:styleId="ListLabel8">
    <w:name w:val="ListLabel 8"/>
    <w:qFormat/>
    <w:rPr>
      <w:rFonts w:ascii="Arial" w:hAnsi="Arial"/>
      <w:b w:val="false"/>
      <w:i w:val="false"/>
      <w:sz w:val="22"/>
    </w:rPr>
  </w:style>
  <w:style w:type="character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styleId="ListLabel10">
    <w:name w:val="ListLabel 10"/>
    <w:qFormat/>
    <w:rPr>
      <w:rFonts w:ascii="Times New Roman" w:hAnsi="Times New Roman"/>
      <w:b w:val="false"/>
      <w:i w:val="false"/>
      <w:sz w:val="22"/>
      <w:szCs w:val="22"/>
    </w:rPr>
  </w:style>
  <w:style w:type="character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styleId="ListLabel12">
    <w:name w:val="ListLabel 12"/>
    <w:qFormat/>
    <w:rPr>
      <w:rFonts w:ascii="Times New Roman" w:hAnsi="Times New Roman"/>
      <w:b w:val="false"/>
      <w:i w:val="false"/>
      <w:sz w:val="22"/>
      <w:szCs w:val="22"/>
    </w:rPr>
  </w:style>
  <w:style w:type="character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styleId="ListLabel14">
    <w:name w:val="ListLabel 14"/>
    <w:qFormat/>
    <w:rPr>
      <w:rFonts w:ascii="Times New Roman" w:hAnsi="Times New Roman"/>
      <w:b w:val="false"/>
      <w:i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LibreOffice/5.2.1.2$Windows_x86 LibreOffice_project/31dd62db80d4e60af04904455ec9c9219178d620</Application>
  <Pages>7</Pages>
  <Words>2697</Words>
  <Characters>17975</Characters>
  <CharactersWithSpaces>21641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2020-03-02T11:37:00Z</dcterms:created>
  <dc:creator>Justyna</dc:creator>
  <dc:description/>
  <dc:language>pl-PL</dc:language>
  <cp:lastModifiedBy/>
  <cp:lastPrinted>2018-03-27T12:28:00Z</cp:lastPrinted>
  <dcterms:modified xsi:type="dcterms:W3CDTF">2021-12-17T14:17:36Z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