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/>
        <w:bidi w:val="0"/>
        <w:spacing w:lineRule="auto" w:line="288" w:before="0" w:after="140"/>
        <w:ind w:left="0" w:right="-850" w:hanging="0"/>
        <w:jc w:val="left"/>
        <w:rPr>
          <w:sz w:val="22"/>
          <w:szCs w:val="22"/>
        </w:rPr>
      </w:pPr>
      <w:r>
        <w:rPr>
          <w:sz w:val="22"/>
          <w:szCs w:val="22"/>
        </w:rPr>
        <w:t>Oznaczenie sprawy: 07/ZP/2021</w:t>
        <w:tab/>
        <w:tab/>
        <w:tab/>
        <w:tab/>
        <w:tab/>
        <w:t xml:space="preserve">                  Załącznik Nr 2a do SWZ</w:t>
      </w:r>
    </w:p>
    <w:tbl>
      <w:tblPr>
        <w:tblW w:w="10440" w:type="dxa"/>
        <w:jc w:val="left"/>
        <w:tblInd w:w="-14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2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20"/>
        <w:gridCol w:w="27"/>
        <w:gridCol w:w="6018"/>
        <w:gridCol w:w="3675"/>
      </w:tblGrid>
      <w:tr>
        <w:trPr>
          <w:trHeight w:val="450" w:hRule="atLeast"/>
        </w:trPr>
        <w:tc>
          <w:tcPr>
            <w:tcW w:w="7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000000" w:fill="FFFFFF" w:val="pct25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000000" w:fill="FFFFFF" w:val="pct25"/>
            <w:tcMar>
              <w:left w:w="29" w:type="dxa"/>
            </w:tcMar>
          </w:tcPr>
          <w:p>
            <w:pPr>
              <w:pStyle w:val="Nagwek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Parametry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000000" w:fill="FFFFFF" w:val="pct25"/>
            <w:tcMar>
              <w:left w:w="29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/ Podać oferowany parametr.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Narzędzia muszą być fabrycznie nowe, wyprodukowane nie wcześniej niż w 2020 roku.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datę produkcji.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Ramiona nożyczek łączone za pomocą śrub lub wkrętów odpowiednio zabezpieczonymi przed przypadkowym odkręceniem.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Trwałe oznakowanie narzędzi: logo producenta, nr katalogowy.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Narzędzia chirurgiczne i kosze muszą być oznaczone kodem  Data matrix, matrycowym dwuwymiarowym kodem kreskowym (kod kreskowy 2D), składającym się z czarnych i białych pól (modułów) zamieszczonych w granicach tzw. wzoru wyszukiwania. Oznakowanie takie pozwoli na pełną identyfikację narzędzi w zestawie i możliwość skanowania każdego instrumentu znajdującego się w zestawie. Kod Data Matrix musi zawierać zakodowaną informację o unikalnym numerze narzędzia/kontenera. Kod będzie wykorzystany do synchronizacji                    z systemami informatycznymi COI i organizacją pracy w obrębie Bloku Operacyjnego   i Centralnej Sterylizatorni (skład zestawów narzędzi chirurgicznych, obieg w obrębie BO/CS, planowanie regeneracji                      i wymiany narzędzi w zestawach).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6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Wcicietrecitekstu"/>
              <w:spacing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Oferowane narzędzia winna cechować:</w:t>
            </w:r>
          </w:p>
          <w:p>
            <w:pPr>
              <w:pStyle w:val="Normal"/>
              <w:numPr>
                <w:ilvl w:val="0"/>
                <w:numId w:val="1"/>
              </w:numPr>
              <w:ind w:left="241" w:hanging="2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wysoka jakość materiałów, z których są wykonane – dołączyć informację fabryczną producenta dotyczącą składu materiałów z jakich wykonano narzędzia (dla poszczególnych modeli np. nożyczki, imadła, pęsety itd.) Norma stali – ISO-7153-1</w:t>
            </w:r>
          </w:p>
          <w:p>
            <w:pPr>
              <w:pStyle w:val="Normal"/>
              <w:numPr>
                <w:ilvl w:val="0"/>
                <w:numId w:val="1"/>
              </w:numPr>
              <w:ind w:left="241" w:hanging="2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wysoka trwałość</w:t>
            </w:r>
          </w:p>
          <w:p>
            <w:pPr>
              <w:pStyle w:val="Normal"/>
              <w:numPr>
                <w:ilvl w:val="0"/>
                <w:numId w:val="1"/>
              </w:numPr>
              <w:ind w:left="241" w:hanging="2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wysoka ergonomia</w:t>
            </w:r>
          </w:p>
          <w:p>
            <w:pPr>
              <w:pStyle w:val="Normal"/>
              <w:numPr>
                <w:ilvl w:val="0"/>
                <w:numId w:val="1"/>
              </w:numPr>
              <w:ind w:left="241" w:hanging="241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 matowane (Podać stosowaną przez producenta technologię matowania)</w:t>
            </w:r>
          </w:p>
          <w:p>
            <w:pPr>
              <w:pStyle w:val="Normal"/>
              <w:numPr>
                <w:ilvl w:val="0"/>
                <w:numId w:val="1"/>
              </w:numPr>
              <w:ind w:left="241" w:hanging="24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odporność na korozję</w:t>
            </w:r>
            <w:r>
              <w:rPr>
                <w:sz w:val="20"/>
                <w:szCs w:val="20"/>
              </w:rPr>
              <w:t xml:space="preserve"> zgodnie z normą DIN_EN_ISO 13402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 muszą posiadać możliwość:</w:t>
            </w:r>
          </w:p>
          <w:p>
            <w:pPr>
              <w:pStyle w:val="Normal"/>
              <w:numPr>
                <w:ilvl w:val="0"/>
                <w:numId w:val="1"/>
              </w:numPr>
              <w:ind w:left="241" w:hanging="2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mycia (ultradźwięki, neutralizacja i środki myjące posiadające dopuszczenie PZH)</w:t>
            </w:r>
          </w:p>
          <w:p>
            <w:pPr>
              <w:pStyle w:val="Normal"/>
              <w:numPr>
                <w:ilvl w:val="0"/>
                <w:numId w:val="1"/>
              </w:numPr>
              <w:ind w:left="241" w:hanging="2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dezynfekcji (temperaturowa i chemiczna środkami dopuszczonymi przez PZH)</w:t>
            </w:r>
          </w:p>
          <w:p>
            <w:pPr>
              <w:pStyle w:val="Normal"/>
              <w:numPr>
                <w:ilvl w:val="0"/>
                <w:numId w:val="1"/>
              </w:numPr>
              <w:ind w:left="241" w:hanging="2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sterylizacji (parowa w autoklawach 134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C, tlenek etylenu dla materiałów wrażliwych temperatura 51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C)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Wymagana gwarancja: min. 24 miesiące na całość asortymentu.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Zakończenie naprawy lub wymiany przedmiotu umowy na nowy nastąpi nie później niż </w:t>
              <w:br/>
              <w:t>w ciągu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max.14 dni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 dnia przystąpienia do naprawy.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79" w:hRule="atLeast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Wykonawca posiada na terenie Polski lub Unii Europejskiej fabryczny dział regeneracji narzędzi chirurgicznych z pełnym zakresem usługi regeneracji oferowanych narzędzi z przywróceniem m.in. w 100% funkcjonalności takich jak: ostrzenie nożyczek, łyżeczek kostnych łącznie z wymianą śrub; wymiana twardych wkładek w imadłach, nożyczkach, pincetach, kleszczach itp.; wymiana nitów zawiasów; regeneracja części roboczych kleszczyków, klemów atraumatycznych, pincet, imadeł; regeneracja powierzchni łącznie z pasywacją, matowaniem oraz niklowanie lub chromowanie narzędzi z takimi powłokami. Min. 6 miesięcy gwarancji na wykonaną usługę.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Podać nazwę i adres działu regeneracji. Serwis certyfikowany normami: EN ISO 13485:2016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tbl>
            <w:tblPr>
              <w:tblW w:w="9440" w:type="dxa"/>
              <w:jc w:val="left"/>
              <w:tblInd w:w="0" w:type="dxa"/>
              <w:tblBorders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9440"/>
            </w:tblGrid>
            <w:tr>
              <w:trPr>
                <w:trHeight w:val="480" w:hRule="atLeast"/>
              </w:trPr>
              <w:tc>
                <w:tcPr>
                  <w:tcW w:w="944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Wymagany park maszynowy serwisu należy podać,                                                                                                                                                               typ,,model i nr seryjny urządzenia):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944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szlifierki specjalistyczne,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944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urządzenie/a do matowania,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944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myjka ultradźwiękowa,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944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piec hartowniczy,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944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linia urządzeń do pasywacji narzędzi,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944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urządzenie do znakowania kodem Data Matrix                                                                                                                                         lub równoważne,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944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urządzenie galwaniczne do złocenia,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944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mikroskop stereoskopowy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944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inne, niezbędne do realizacji wszystkich w/w czynności</w:t>
                  </w:r>
                </w:p>
              </w:tc>
            </w:tr>
            <w:tr>
              <w:trPr>
                <w:trHeight w:val="983" w:hRule="atLeast"/>
              </w:trPr>
              <w:tc>
                <w:tcPr>
                  <w:tcW w:w="944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20"/>
                      <w:szCs w:val="20"/>
                    </w:rPr>
                    <w:t>Uwaga – wszystkie w/w urządzenia muszą posiadać aktualne na dzień                                                                                                     składania ofert oraz przez cały okres obowiązywania gwarancji)                                                                                                                         dokumenty gwarantujące dopuszczenie do użytkowania                                                                                                                               zgodnie z obowiązującymi przepisami.</w:t>
                  </w:r>
                </w:p>
              </w:tc>
            </w:tr>
          </w:tbl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799" w:hRule="atLeast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Każdy zaoferowany element specyfikacji asortymentowo-cenowej musi być przedstawiony w dołączonych do oferty oryginalnych firmowych katalogach, prospektach, folderach lub ich kopiach potwierdzonych za zgodność z oryginałem, a jego jakość musi być potwierdzona dołączonym do oferty certyfikatem CE , deklaracją zgodności CE i wpisem do Rejestru Wyrobów Medycznych .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95" w:hRule="atLeast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bookmarkStart w:id="0" w:name="_Hlk63721807"/>
            <w:bookmarkEnd w:id="0"/>
            <w:r>
              <w:rPr>
                <w:sz w:val="20"/>
                <w:szCs w:val="20"/>
              </w:rPr>
              <w:t>12.</w:t>
            </w:r>
          </w:p>
        </w:tc>
        <w:tc>
          <w:tcPr>
            <w:tcW w:w="6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będzie zobowiązany do min. 1 przeglądu w okresie gwarancji na własny koszt w siedzibie Zamawiającego, wszystkich narzędzi chirurgicznych które udostępni w uzgodnionym terminie. Wykonawca będzie zobowiązany do sporządzenia ekspertyzy                          z wyszczególnieniem informacji uzyskanych w ramach przeglądu. Podczas przeglądu analizie mają być poddane takie kwestie związane                  z  instrumentarium, jak: ilość, rodzaj, producent, stan konserwacji,                  a także jakość wykonanych napraw, na dokonaniu oceny stanu technicznego instrumentarium chirurgicznego wraz z oceną jakości mediów. Przegląd ma obejmować również badanie narzędzi pod względem występowania korozji, przebarwień oraz zmian powierzchniowych wraz ze sporządzeniem dokumentacji fotograficznej            i wskazaniem na potencjalne źródła i przyczyny występowania tych uszkodzeń. Ma być sporządzony na tej podstawie raport który pokaże aktualną sytuację w zakresie stanu posiadanych narzędzi. Raport będzie stanowić punkt wyjścia do dalszych prac w kierunku optymalizacji ilościowo-jakościowej narzędzi chirurgicznych.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bookmarkStart w:id="1" w:name="_Hlk637218071"/>
            <w:bookmarkEnd w:id="1"/>
            <w:r>
              <w:rPr>
                <w:sz w:val="20"/>
                <w:szCs w:val="20"/>
              </w:rPr>
              <w:t>13.</w:t>
            </w:r>
          </w:p>
        </w:tc>
        <w:tc>
          <w:tcPr>
            <w:tcW w:w="6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dopuszcza tolerancję długości całkowitej narzędzi chirurgicznych w zakresie 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dla narzędzi o długości całkowitej do 240 mm (włącznie) +/- 3 mm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dla narzędzi o długości całkowitej powyżej 241 mm +/- 5 mm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bookmarkStart w:id="2" w:name="_Hlk63722594"/>
            <w:bookmarkStart w:id="3" w:name="_Hlk63722594"/>
            <w:bookmarkEnd w:id="3"/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/>
      </w:pPr>
      <w:r>
        <w:rPr>
          <w:sz w:val="20"/>
          <w:szCs w:val="20"/>
        </w:rPr>
        <w:t xml:space="preserve">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0"/>
        <w:b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12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6">
    <w:name w:val="Heading 6"/>
    <w:basedOn w:val="Normal"/>
    <w:link w:val="Nagwek6Znak"/>
    <w:qFormat/>
    <w:rsid w:val="004212bf"/>
    <w:pPr>
      <w:keepNext/>
      <w:jc w:val="center"/>
      <w:outlineLvl w:val="5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qFormat/>
    <w:rsid w:val="004212bf"/>
    <w:rPr>
      <w:rFonts w:ascii="Times New Roman" w:hAnsi="Times New Roman" w:eastAsia="Times New Roman" w:cs="Times New Roman"/>
      <w:b/>
      <w:sz w:val="26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4212b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d2e16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rFonts w:cs="OpenSymbol"/>
      <w:b/>
      <w:sz w:val="20"/>
    </w:rPr>
  </w:style>
  <w:style w:type="character" w:styleId="ListLabel2">
    <w:name w:val="ListLabel 2"/>
    <w:qFormat/>
    <w:rPr>
      <w:rFonts w:cs="OpenSymbol"/>
      <w:b/>
      <w:sz w:val="20"/>
    </w:rPr>
  </w:style>
  <w:style w:type="character" w:styleId="ListLabel3">
    <w:name w:val="ListLabel 3"/>
    <w:qFormat/>
    <w:rPr>
      <w:rFonts w:cs="OpenSymbol"/>
      <w:b/>
      <w:sz w:val="20"/>
    </w:rPr>
  </w:style>
  <w:style w:type="character" w:styleId="ListLabel4">
    <w:name w:val="ListLabel 4"/>
    <w:qFormat/>
    <w:rPr>
      <w:rFonts w:cs="OpenSymbol"/>
      <w:b/>
      <w:sz w:val="20"/>
    </w:rPr>
  </w:style>
  <w:style w:type="character" w:styleId="ListLabel5">
    <w:name w:val="ListLabel 5"/>
    <w:qFormat/>
    <w:rPr>
      <w:rFonts w:cs="OpenSymbol"/>
      <w:b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cicietrecitekstu">
    <w:name w:val="Body Text Indent"/>
    <w:basedOn w:val="Normal"/>
    <w:link w:val="TekstpodstawowywcityZnak"/>
    <w:rsid w:val="004212bf"/>
    <w:pPr>
      <w:spacing w:before="0" w:after="120"/>
      <w:ind w:left="283" w:hanging="0"/>
    </w:pPr>
    <w:rPr/>
  </w:style>
  <w:style w:type="paragraph" w:styleId="Styl" w:customStyle="1">
    <w:name w:val="Styl"/>
    <w:qFormat/>
    <w:rsid w:val="004212b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oSpacing">
    <w:name w:val="No Spacing"/>
    <w:uiPriority w:val="1"/>
    <w:qFormat/>
    <w:rsid w:val="00f9621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d2e1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LibreOffice/5.2.1.2$Windows_x86 LibreOffice_project/31dd62db80d4e60af04904455ec9c9219178d620</Application>
  <Pages>2</Pages>
  <Words>665</Words>
  <Characters>4411</Characters>
  <CharactersWithSpaces>5803</CharactersWithSpaces>
  <Paragraphs>52</Paragraphs>
  <Company>B.Braun Melsungen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2020-03-29T22:09:00Z</dcterms:created>
  <dc:creator>Zbigniew Bala</dc:creator>
  <dc:description/>
  <dc:language>pl-PL</dc:language>
  <cp:lastModifiedBy/>
  <cp:lastPrinted>2019-02-13T23:42:00Z</cp:lastPrinted>
  <dcterms:modified xsi:type="dcterms:W3CDTF">2021-06-16T08:28:54Z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B.Braun Melsungen AG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SIP_Label_97735299-2a7d-4f7d-99cc-db352b8b5a9b_Application">
    <vt:lpwstr>Microsoft Azure Information Protection</vt:lpwstr>
  </property>
  <property fmtid="{D5CDD505-2E9C-101B-9397-08002B2CF9AE}" pid="8" name="MSIP_Label_97735299-2a7d-4f7d-99cc-db352b8b5a9b_Enabled">
    <vt:lpwstr>True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97735299-2a7d-4f7d-99cc-db352b8b5a9b_Name">
    <vt:lpwstr>Confidential</vt:lpwstr>
  </property>
  <property fmtid="{D5CDD505-2E9C-101B-9397-08002B2CF9AE}" pid="11" name="MSIP_Label_97735299-2a7d-4f7d-99cc-db352b8b5a9b_Ref">
    <vt:lpwstr>https://api.informationprotection.azure.com/api/15d1bef2-0a6a-46f9-be4c-023279325e51</vt:lpwstr>
  </property>
  <property fmtid="{D5CDD505-2E9C-101B-9397-08002B2CF9AE}" pid="12" name="MSIP_Label_97735299-2a7d-4f7d-99cc-db352b8b5a9b_SetBy">
    <vt:lpwstr>zbigniew.bala@bbraun.com</vt:lpwstr>
  </property>
  <property fmtid="{D5CDD505-2E9C-101B-9397-08002B2CF9AE}" pid="13" name="MSIP_Label_97735299-2a7d-4f7d-99cc-db352b8b5a9b_SetDate">
    <vt:lpwstr>2018-08-12T23:36:30.8728983+02:00</vt:lpwstr>
  </property>
  <property fmtid="{D5CDD505-2E9C-101B-9397-08002B2CF9AE}" pid="14" name="MSIP_Label_97735299-2a7d-4f7d-99cc-db352b8b5a9b_SiteId">
    <vt:lpwstr>15d1bef2-0a6a-46f9-be4c-023279325e51</vt:lpwstr>
  </property>
  <property fmtid="{D5CDD505-2E9C-101B-9397-08002B2CF9AE}" pid="15" name="MSIP_Label_fd058493-e43f-432e-b8cc-adb7daa46640_Application">
    <vt:lpwstr>Microsoft Azure Information Protection</vt:lpwstr>
  </property>
  <property fmtid="{D5CDD505-2E9C-101B-9397-08002B2CF9AE}" pid="16" name="MSIP_Label_fd058493-e43f-432e-b8cc-adb7daa46640_Enabled">
    <vt:lpwstr>True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Name">
    <vt:lpwstr>Unprotected</vt:lpwstr>
  </property>
  <property fmtid="{D5CDD505-2E9C-101B-9397-08002B2CF9AE}" pid="19" name="MSIP_Label_fd058493-e43f-432e-b8cc-adb7daa46640_Parent">
    <vt:lpwstr>97735299-2a7d-4f7d-99cc-db352b8b5a9b</vt:lpwstr>
  </property>
  <property fmtid="{D5CDD505-2E9C-101B-9397-08002B2CF9AE}" pid="20" name="MSIP_Label_fd058493-e43f-432e-b8cc-adb7daa46640_Ref">
    <vt:lpwstr>https://api.informationprotection.azure.com/api/15d1bef2-0a6a-46f9-be4c-023279325e51</vt:lpwstr>
  </property>
  <property fmtid="{D5CDD505-2E9C-101B-9397-08002B2CF9AE}" pid="21" name="MSIP_Label_fd058493-e43f-432e-b8cc-adb7daa46640_SetBy">
    <vt:lpwstr>zbigniew.bala@bbraun.com</vt:lpwstr>
  </property>
  <property fmtid="{D5CDD505-2E9C-101B-9397-08002B2CF9AE}" pid="22" name="MSIP_Label_fd058493-e43f-432e-b8cc-adb7daa46640_SetDate">
    <vt:lpwstr>2018-08-12T23:36:30.8728983+02:00</vt:lpwstr>
  </property>
  <property fmtid="{D5CDD505-2E9C-101B-9397-08002B2CF9AE}" pid="23" name="MSIP_Label_fd058493-e43f-432e-b8cc-adb7daa46640_SiteId">
    <vt:lpwstr>15d1bef2-0a6a-46f9-be4c-023279325e51</vt:lpwstr>
  </property>
  <property fmtid="{D5CDD505-2E9C-101B-9397-08002B2CF9AE}" pid="24" name="ScaleCrop">
    <vt:bool>0</vt:bool>
  </property>
  <property fmtid="{D5CDD505-2E9C-101B-9397-08002B2CF9AE}" pid="25" name="Sensitivity">
    <vt:lpwstr>Confidential Unprotected</vt:lpwstr>
  </property>
  <property fmtid="{D5CDD505-2E9C-101B-9397-08002B2CF9AE}" pid="26" name="ShareDoc">
    <vt:bool>0</vt:bool>
  </property>
</Properties>
</file>