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sz w:val="22"/>
          <w:szCs w:val="22"/>
        </w:rPr>
        <w:t>Oznaczenie sprawy: 07/ZP/2021                                                     Załącznik Nr 4 do SWZ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r>
        <w:rPr>
          <w:rFonts w:ascii="Arial" w:hAnsi="Arial"/>
          <w:sz w:val="22"/>
          <w:szCs w:val="22"/>
        </w:rPr>
        <w:t xml:space="preserve">Projekt umowy dostawy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</w:t>
      </w:r>
      <w:r>
        <w:rPr>
          <w:rFonts w:ascii="Arial" w:hAnsi="Arial"/>
          <w:sz w:val="22"/>
          <w:szCs w:val="22"/>
        </w:rPr>
        <w:t>narzędzi chirurgicznych nr ___________</w:t>
      </w:r>
    </w:p>
    <w:p>
      <w:pPr>
        <w:pStyle w:val="Tytu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Start w:id="1" w:name="__DdeLink__1944_2114429470"/>
      <w:bookmarkEnd w:id="1"/>
      <w:r>
        <w:rPr>
          <w:rFonts w:ascii="Arial" w:hAnsi="Arial"/>
          <w:sz w:val="22"/>
          <w:szCs w:val="22"/>
        </w:rPr>
      </w:r>
    </w:p>
    <w:p>
      <w:pPr>
        <w:pStyle w:val="Tytu"/>
        <w:jc w:val="left"/>
        <w:rPr>
          <w:rFonts w:ascii="Arial" w:hAnsi="Arial"/>
          <w:b w:val="false"/>
          <w:b w:val="false"/>
          <w:sz w:val="22"/>
          <w:szCs w:val="22"/>
        </w:rPr>
      </w:pPr>
      <w:bookmarkStart w:id="2" w:name="__DdeLink__1944_21144294701"/>
      <w:bookmarkStart w:id="3" w:name="__DdeLink__1944_21144294701"/>
      <w:bookmarkEnd w:id="3"/>
      <w:r>
        <w:rPr>
          <w:rFonts w:ascii="Arial" w:hAnsi="Arial"/>
          <w:b w:val="false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         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 KRS numer: 0000003923, NIP: 682-14-36-049, REGON: 000300593, zwany w dalszej części „</w:t>
      </w:r>
      <w:bookmarkStart w:id="4" w:name="__DdeLink__938_1733179380"/>
      <w:r>
        <w:rPr>
          <w:rFonts w:ascii="Arial" w:hAnsi="Arial"/>
          <w:sz w:val="22"/>
          <w:szCs w:val="22"/>
        </w:rPr>
        <w:t>Zamawiający</w:t>
      </w:r>
      <w:bookmarkEnd w:id="4"/>
      <w:r>
        <w:rPr>
          <w:rFonts w:ascii="Arial" w:hAnsi="Arial"/>
          <w:sz w:val="22"/>
          <w:szCs w:val="22"/>
        </w:rPr>
        <w:t>m” lub „Odbiorcą”,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Dyrektor SP ZOZ w Proszowicach –  Łukasz Szafrański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przetargu podstawowego zgodnie z ustawą z dnia 11 września 2019 roku Prawo zamówień publicznych (Dz. U. z 2019 r. poz. 2019 z późniejszymi zmianami) numer sprawy: 07/ZP/2021.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Na podstawie niniejszej umowy Wykonawca zobowiązuje się dostarczyć fabrycznie no</w:t>
      </w:r>
      <w:bookmarkStart w:id="5" w:name="__DdeLink__4587_1354059231"/>
      <w:r>
        <w:rPr>
          <w:rFonts w:ascii="Arial" w:hAnsi="Arial"/>
          <w:sz w:val="22"/>
          <w:szCs w:val="22"/>
        </w:rPr>
        <w:t>w</w:t>
      </w:r>
      <w:bookmarkEnd w:id="5"/>
      <w:r>
        <w:rPr>
          <w:rFonts w:ascii="Arial" w:hAnsi="Arial"/>
          <w:sz w:val="22"/>
          <w:szCs w:val="22"/>
        </w:rPr>
        <w:t>e narzędzia chirurgiczne o parametrach i właściwościach zgodnych z opisem Zamawiającego zawartym w Specyfikacji Warunków Zamówienia i w złożonej w ramach postępowania  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posiada doświadczenie w dostawie i wykonywaniu serwisu po dostawie medycznych narzędzi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                  i założonym celem.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          w ustawie z dnia 20 maja 2010 roku o wyrobach medycznych.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>zł (słownie: _____________________) brutto, w tym podatek od towarów i usług VAT                      w wysokości ________ zł (słownie: _____________________). Powyższa wartość stanowi cenę sprzedaży/dostawy Przedmiotu Umowy zgodnie                     z Załącznikiem Nr 1 do niniejszej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uruchomieniem Przedmiotu umowy.                             W szczególności, koszty transportu, ubezpieczenia, rozładunku, szkolenia personelu Zamawiającego z obsługi Przedmiotu umowy, należności celnych.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Strony ustalają płatność określoną w ustępie 2.1. Umowy w 5 równych ratach po ….............. zł brutto. </w:t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własnym środkiem transportu, na własne ryzyko w terminie  do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4 tygodni od dnia podpisania umowy.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highlight w:val="white"/>
        </w:rPr>
        <w:t>Wykonawca zobowiązany jest przekaza</w:t>
      </w:r>
      <w:r>
        <w:rPr>
          <w:rFonts w:ascii="Arial" w:hAnsi="Arial"/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Odbiór Przedmiotu Umowy dokonywany zostanie przez Zamawiającego i Wykonawcę w siedzibie Zamawiającego. W czasie odbioru sprawdzone zostaną kompletność dostawy, funkcjonalność i 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w protokole odbioru, 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 pełnowartościowy. W przypadku niedostarczenia Przedmiotu Umowy zgodnego z umową w wyżej wskazanym terminie Zamawiającemu przysługuje prawo skorzystania z wynikającego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Podwykonawcy.</w:t>
      </w:r>
    </w:p>
    <w:p>
      <w:pPr>
        <w:pStyle w:val="Normal"/>
        <w:ind w:left="68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uzasadnienia i 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umowy przy udziale niezgłoszonego w ramach postępowania                    o 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                      za własne działania lub zaniechania.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lineRule="auto" w:line="240" w:before="0" w:after="120"/>
        <w:jc w:val="both"/>
        <w:rPr/>
      </w:pPr>
      <w:r>
        <w:rPr>
          <w:rFonts w:ascii="Arial" w:hAnsi="Arial"/>
          <w:color w:val="000000"/>
          <w:sz w:val="22"/>
          <w:szCs w:val="22"/>
        </w:rPr>
        <w:t>Zapłata nastąpi po wykonaniu umowy ze strony Wykonawcy,  pierwsza rata</w:t>
        <w:br/>
        <w:t>w terminie do 30 dni od dnia doręczenia prawidłowo wystawionej faktury VAT, która wystawiona może być po przekazaniu Zamawiającemu Przedmiotu Umowy, co potwierdzone zostanie odpowiednim protokołem odbioru.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1361" w:hanging="0"/>
        <w:jc w:val="both"/>
        <w:rPr/>
      </w:pPr>
      <w:r>
        <w:rPr>
          <w:rStyle w:val="Domylnaczcionkaakapitu"/>
          <w:rFonts w:cs="Times New Roman" w:ascii="Arial" w:hAnsi="Arial"/>
          <w:color w:val="000000"/>
          <w:sz w:val="22"/>
          <w:szCs w:val="22"/>
        </w:rPr>
        <w:t>Pozostałe raty płatne, na koniec każdego kolejnego miesiąca począwszy od miesiąca następującego po miesiącu, w którym nastąpiła pierwsza zapłata.</w:t>
        <w:br/>
        <w:t>W przypadku kwoty niepodzielnej na równe raty Zamawiający dopuszcza ostatnią ratę wyrównawczą</w:t>
      </w:r>
      <w:r>
        <w:rPr>
          <w:rStyle w:val="Domylnaczcionkaakapitu"/>
          <w:rFonts w:eastAsia="Times New Roman CE" w:cs="Times New Roman" w:ascii="Arial" w:hAnsi="Arial"/>
          <w:color w:val="000000"/>
          <w:sz w:val="22"/>
          <w:szCs w:val="22"/>
        </w:rPr>
        <w:t>.</w:t>
      </w:r>
    </w:p>
    <w:p>
      <w:pPr>
        <w:pStyle w:val="Normal"/>
        <w:spacing w:lineRule="auto" w:line="240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 xml:space="preserve">W okresie rękojmi, niezależnie od uprawnień wynikających z przepisów prawa, trzy naprawy tego samego elementu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rzedmiotu Umowy dają Zamawiającemu prawo żądania jego wymiany na nowy.</w:t>
      </w:r>
    </w:p>
    <w:p>
      <w:pPr>
        <w:pStyle w:val="ListParagrap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 xml:space="preserve"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 konserwacji zgodnych z planem serwisowym zalecanym przez producenta oraz terminowego wykonywania wszelkich ewentualnych napraw Przedmiotu Umowy </w:t>
      </w:r>
      <w:r>
        <w:rPr>
          <w:rFonts w:ascii="Arial" w:hAnsi="Arial"/>
          <w:sz w:val="22"/>
          <w:szCs w:val="22"/>
        </w:rPr>
        <w:t>zgodnie z załącznikiem nr 2 do niniejszej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/>
      </w:pPr>
      <w:r>
        <w:rPr>
          <w:rFonts w:ascii="Arial" w:hAnsi="Arial"/>
          <w:sz w:val="22"/>
          <w:szCs w:val="22"/>
        </w:rPr>
        <w:t xml:space="preserve">Dokonać bezpłatnej naprawy usterki, wady zgłoszonej przez Zamawiającego w terminie </w:t>
      </w:r>
      <w:r>
        <w:rPr>
          <w:rFonts w:ascii="Arial" w:hAnsi="Arial"/>
          <w:sz w:val="22"/>
          <w:szCs w:val="22"/>
        </w:rPr>
        <w:t>max.14</w:t>
      </w:r>
      <w:r>
        <w:rPr>
          <w:rFonts w:ascii="Arial" w:hAnsi="Arial"/>
          <w:sz w:val="22"/>
          <w:szCs w:val="22"/>
        </w:rPr>
        <w:t xml:space="preserve"> dni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/>
      </w:pPr>
      <w:r>
        <w:rPr>
          <w:rFonts w:ascii="Arial" w:hAnsi="Arial"/>
          <w:sz w:val="22"/>
          <w:szCs w:val="22"/>
        </w:rPr>
        <w:t>Przystąpić do usunięcia wady/usterki w terminie 48 godzin od przyjęcia zgłoszenia w dni robocze.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</w:t>
        <w:br/>
        <w:t>a w przeciwnym razie wprost 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</w:t>
        <w:br/>
        <w:t>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zwłoki w dostawie Przedmiotu Umowy lub dostarczeniu Przedmiotu Umowy niezgodnie z zamówieniem Wykonawca zapłaci na żądanie Zamawiającego karę umowną w wysokości 0,2% wartości ceny brutto, za każdy dzień zwłoki;</w:t>
      </w:r>
      <w:r>
        <w:rPr>
          <w:rFonts w:ascii="Arial" w:hAnsi="Arial"/>
          <w:sz w:val="22"/>
          <w:szCs w:val="22"/>
          <w:highlight w:val="white"/>
        </w:rPr>
        <w:t xml:space="preserve"> 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zwłoki w wykonaniu przez Wykon</w:t>
      </w:r>
      <w:r>
        <w:rPr>
          <w:rFonts w:ascii="Arial" w:hAnsi="Arial"/>
          <w:sz w:val="22"/>
          <w:szCs w:val="22"/>
        </w:rPr>
        <w:t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brutto, za każdy dzień zwłoki;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</w:t>
        <w:br/>
        <w:t>w przypadkach opisanych w Kodeksie cywilnym, Wykonawca zapłaci karę umowną 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Łączna wartość kar umownych jakimi Zamawiający może obciążyć Dostawcę nie może przekroczyć 20% wartości Przedmiotu umowy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  <w:br/>
        <w:t>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 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 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Zmiany niniejszej umowy mogą być dokonywane pod rygorem nieważności na piśmie jedynie w okolicznościach pozwalających na taką zmianę zgodnie</w:t>
        <w:br/>
        <w:t>z 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KLAUZULA INFORMACYJNA DOTYCZĄCA PRZETWARZANIA DANYCH OSOBOWYCH.</w:t>
      </w:r>
    </w:p>
    <w:p>
      <w:pPr>
        <w:pStyle w:val="Normal"/>
        <w:jc w:val="center"/>
        <w:rPr>
          <w:rFonts w:ascii="Arial" w:hAnsi="Arial" w:cs="Times New Roman"/>
          <w:b/>
          <w:b/>
          <w:sz w:val="22"/>
          <w:szCs w:val="22"/>
          <w:highlight w:val="yellow"/>
        </w:rPr>
      </w:pPr>
      <w:r>
        <w:rPr>
          <w:rFonts w:cs="Times New Roman" w:ascii="Arial" w:hAnsi="Arial"/>
          <w:b/>
          <w:sz w:val="22"/>
          <w:szCs w:val="22"/>
          <w:highlight w:val="yellow"/>
        </w:rPr>
      </w:r>
    </w:p>
    <w:p>
      <w:pPr>
        <w:pStyle w:val="Normal"/>
        <w:widowControl/>
        <w:tabs>
          <w:tab w:val="left" w:pos="547" w:leader="none"/>
          <w:tab w:val="left" w:pos="4463" w:leader="none"/>
        </w:tabs>
        <w:suppressAutoHyphens w:val="false"/>
        <w:spacing w:before="0" w:after="0"/>
        <w:ind w:left="0" w:right="0" w:hanging="0"/>
        <w:contextualSpacing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l-PL"/>
        </w:rPr>
        <w:t xml:space="preserve">Zgodnie 13 ust. 1 i 2 </w:t>
      </w:r>
      <w:r>
        <w:rPr>
          <w:rFonts w:ascii="Arial" w:hAnsi="Arial"/>
          <w:sz w:val="22"/>
          <w:szCs w:val="22"/>
        </w:rPr>
        <w:t>rozporządzenia Parlamentu Europejskiego i Rady (UE) 2016/679</w:t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/>
          <w:sz w:val="22"/>
          <w:szCs w:val="22"/>
          <w:lang w:eastAsia="pl-PL"/>
        </w:rPr>
        <w:t xml:space="preserve">dalej „RODO”, w zakresie danych osobowych uzyskanych w związku z realizacją niniejszej umowy informuję, że: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Administrator danych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>Samodzielny Publiczny Zespół Opieki Zdrowotnej w Proszowicach przy ul. Kopernika 13,</w:t>
        <w:br/>
        <w:t>32–100 Proszowice jest administratorem Państwa danych osobowych.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Cel, podstawa prawna oraz czas przetwarzania danych osobowych</w:t>
      </w:r>
      <w:r>
        <w:rPr>
          <w:rFonts w:ascii="Arial" w:hAnsi="Arial"/>
          <w:sz w:val="22"/>
          <w:szCs w:val="22"/>
        </w:rPr>
        <w:t xml:space="preserve">         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w trybie podstawowym </w:t>
      </w:r>
      <w:r>
        <w:rPr>
          <w:rFonts w:ascii="Arial" w:hAnsi="Arial"/>
          <w:b w:val="false"/>
          <w:bCs w:val="false"/>
          <w:sz w:val="22"/>
          <w:szCs w:val="22"/>
        </w:rPr>
        <w:t xml:space="preserve">pn. Dostawa </w:t>
      </w:r>
      <w:r>
        <w:rPr>
          <w:rFonts w:ascii="Arial" w:hAnsi="Arial"/>
          <w:b w:val="false"/>
          <w:bCs w:val="false"/>
          <w:sz w:val="22"/>
          <w:szCs w:val="22"/>
        </w:rPr>
        <w:t>narzędzi chirurgicznych</w:t>
      </w:r>
      <w:r>
        <w:rPr>
          <w:rFonts w:ascii="Arial" w:hAnsi="Arial"/>
          <w:b w:val="false"/>
          <w:bCs w:val="false"/>
          <w:sz w:val="22"/>
          <w:szCs w:val="22"/>
        </w:rPr>
        <w:t>, oznaczenie sprawy 0</w:t>
      </w:r>
      <w:r>
        <w:rPr>
          <w:rFonts w:ascii="Arial" w:hAnsi="Arial"/>
          <w:b w:val="false"/>
          <w:bCs w:val="false"/>
          <w:sz w:val="22"/>
          <w:szCs w:val="22"/>
        </w:rPr>
        <w:t>7</w:t>
      </w:r>
      <w:r>
        <w:rPr>
          <w:rFonts w:ascii="Arial" w:hAnsi="Arial"/>
          <w:b w:val="false"/>
          <w:bCs w:val="false"/>
          <w:sz w:val="22"/>
          <w:szCs w:val="22"/>
        </w:rPr>
        <w:t>/ZP/2021.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>Państwa dane osobowe będą przechowywane zgodnie z art. 78 ustawy Prawo zamówień publicznych, przez okres 4 lat od dnia zakończenia postępowania o udzielenie zamówienia,</w:t>
        <w:br/>
        <w:t>a jeżeli czas trwania umowy przekracza 4 lata, okres przechowywania obejmuje cały czas trwania umowy.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Obowiązek podania przez Państwa danych osobowych bezpośrednio Państwa dotyczących jest wymogiem ustawowym określonym w przepisach ustawy Prawo zamówień publicznych związanych  z udziałem w postępowaniu o udzielenie zamówienia publicznego.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Konsekwencje niepodania określonych danych wynika z ustawy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wypełnienie obowiązku prawnego nałożonego na administratora (art. 6 ust 1 lit c RODO) zgodnie z obowiązującymi przepisami prawa, w szczególności z ustawą –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Ujawnienie danych osobowych oraz odbiorcy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2019 r. poz. 2019) dalej „ustawa Pzp”.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 Prawa osób, których dane osobowe dotyczą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osoba, której dane dotyczą, ma prawo: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</w:t>
        <w:br/>
        <w:t>o udzielenie zamówienia.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  <w:br/>
        <w:t>w rozsądnej wysokości, wynikającej z kosztów administracyjnych ( art. 15 ust. 3 RODO).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do ograniczenia przetwarzania – żądanie ograniczenia przetwarzania danych osobowych (art. 18 RODO), gdy: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5) Prezes Urzędu Ochrony Danych Osobowych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Osoba, której dane dotyczą, ma prawo wnieść skargę do organu nadzoru, którym w Polsce jest Prezes Urzędu Ochrony Danych Osobowych z siedzibą w Warszawie, ul. Stawki 2,</w:t>
        <w:br/>
        <w:t>z którym można kontaktować się w następujący sposób: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listownie: ul. Stawki 2, 00-193 Warszawa;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>b) przez elektroniczną skrzynkę podawczą dostępną na stronie: https://www.uodo.goy.pl/pl/p/kontakt;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telefonicznie: (22) 53103 00.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Inspektor Ochrony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7) Informacje o wymogu podania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Podanie przez Państwa danych jest wymogiem ustawowym niezbędnym do realizacji celu opisanego w pkt 2.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8) Zautomatyzowane podejmowanie decyzji w tym profilowanie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9)  Akty prawne przywoływane w klauzuli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RODO - rozporządzenie Parlamentu Europejskiego i Rady (UE) 2016/679 z dnia 27 kwietnia 2016 r. w sprawie ochrony osób fizycznych w związku z przetwarzaniem danych osobowych</w:t>
        <w:br/>
        <w:t>i w sprawie swobodnego przepływu takich danych oraz uchylenia dyrektywy 95/46/WE (Dz. Urz. UE L 2016 Nr 119, s. 1);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ustawa z dnia 11 września 2019 r.  – Prawo zamówień publicznych (Dz. U. z 2019 r. poz. 2019).</w:t>
      </w:r>
    </w:p>
    <w:p>
      <w:pPr>
        <w:pStyle w:val="Normal"/>
        <w:numPr>
          <w:ilvl w:val="0"/>
          <w:numId w:val="0"/>
        </w:numPr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Dostawca</w:t>
        <w:tab/>
        <w:tab/>
        <w:tab/>
        <w:tab/>
        <w:t xml:space="preserve">                 Odbiorca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134" w:header="0" w:top="1134" w:footer="1134" w:bottom="15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ListLabel1" w:customStyle="1">
    <w:name w:val="ListLabel 1"/>
    <w:qFormat/>
    <w:rPr>
      <w:rFonts w:ascii="Arial" w:hAnsi="Arial" w:cs="OpenSymbol;Arial Unicode MS"/>
      <w:b/>
      <w:sz w:val="22"/>
    </w:rPr>
  </w:style>
  <w:style w:type="character" w:styleId="ListLabel2" w:customStyle="1">
    <w:name w:val="ListLabel 2"/>
    <w:qFormat/>
    <w:rPr>
      <w:rFonts w:ascii="Arial" w:hAnsi="Arial"/>
      <w:b w:val="false"/>
      <w:i w:val="false"/>
      <w:sz w:val="22"/>
    </w:rPr>
  </w:style>
  <w:style w:type="character" w:styleId="ListLabel3" w:customStyle="1">
    <w:name w:val="ListLabel 3"/>
    <w:qFormat/>
    <w:rPr>
      <w:rFonts w:ascii="Arial" w:hAnsi="Arial" w:cs="OpenSymbol;Arial Unicode MS"/>
      <w:b/>
      <w:sz w:val="22"/>
    </w:rPr>
  </w:style>
  <w:style w:type="character" w:styleId="ListLabel4" w:customStyle="1">
    <w:name w:val="ListLabel 4"/>
    <w:qFormat/>
    <w:rPr>
      <w:rFonts w:ascii="Arial" w:hAnsi="Arial"/>
      <w:b w:val="false"/>
      <w:i w:val="false"/>
      <w:sz w:val="22"/>
    </w:rPr>
  </w:style>
  <w:style w:type="character" w:styleId="ListLabel5" w:customStyle="1">
    <w:name w:val="ListLabel 5"/>
    <w:qFormat/>
    <w:rPr>
      <w:rFonts w:ascii="Arial" w:hAnsi="Arial" w:cs="OpenSymbol;Arial Unicode MS"/>
      <w:b/>
      <w:sz w:val="22"/>
    </w:rPr>
  </w:style>
  <w:style w:type="character" w:styleId="ListLabel6" w:customStyle="1">
    <w:name w:val="ListLabel 6"/>
    <w:qFormat/>
    <w:rPr>
      <w:rFonts w:ascii="Arial" w:hAnsi="Arial"/>
      <w:b w:val="false"/>
      <w:i w:val="false"/>
      <w:sz w:val="22"/>
    </w:rPr>
  </w:style>
  <w:style w:type="character" w:styleId="ListLabel7" w:customStyle="1">
    <w:name w:val="ListLabel 7"/>
    <w:qFormat/>
    <w:rPr>
      <w:rFonts w:ascii="Arial" w:hAnsi="Arial" w:cs="OpenSymbol;Arial Unicode MS"/>
      <w:b/>
      <w:sz w:val="22"/>
    </w:rPr>
  </w:style>
  <w:style w:type="character" w:styleId="ListLabel8" w:customStyle="1">
    <w:name w:val="ListLabel 8"/>
    <w:qFormat/>
    <w:rPr>
      <w:rFonts w:ascii="Arial" w:hAnsi="Arial"/>
      <w:b w:val="false"/>
      <w:i w:val="false"/>
      <w:sz w:val="22"/>
    </w:rPr>
  </w:style>
  <w:style w:type="character" w:styleId="ListLabel9" w:customStyle="1">
    <w:name w:val="ListLabel 9"/>
    <w:qFormat/>
    <w:rPr>
      <w:rFonts w:ascii="Arial" w:hAnsi="Arial" w:cs="OpenSymbol;Arial Unicode MS"/>
      <w:b/>
      <w:sz w:val="22"/>
    </w:rPr>
  </w:style>
  <w:style w:type="character" w:styleId="ListLabel10" w:customStyle="1">
    <w:name w:val="ListLabel 10"/>
    <w:qFormat/>
    <w:rPr>
      <w:rFonts w:ascii="Arial" w:hAnsi="Arial"/>
      <w:b w:val="false"/>
      <w:i w:val="false"/>
      <w:sz w:val="22"/>
    </w:rPr>
  </w:style>
  <w:style w:type="character" w:styleId="ListLabel11" w:customStyle="1">
    <w:name w:val="ListLabel 11"/>
    <w:qFormat/>
    <w:rPr>
      <w:rFonts w:ascii="Arial" w:hAnsi="Arial" w:cs="OpenSymbol;Arial Unicode MS"/>
      <w:b/>
      <w:sz w:val="22"/>
    </w:rPr>
  </w:style>
  <w:style w:type="character" w:styleId="ListLabel12" w:customStyle="1">
    <w:name w:val="ListLabel 12"/>
    <w:qFormat/>
    <w:rPr>
      <w:rFonts w:ascii="Arial" w:hAnsi="Arial"/>
      <w:b w:val="false"/>
      <w:i w:val="false"/>
      <w:sz w:val="22"/>
    </w:rPr>
  </w:style>
  <w:style w:type="character" w:styleId="ListLabel13" w:customStyle="1">
    <w:name w:val="ListLabel 13"/>
    <w:qFormat/>
    <w:rPr>
      <w:rFonts w:ascii="Arial" w:hAnsi="Arial" w:cs="OpenSymbol;Arial Unicode MS"/>
      <w:b/>
      <w:sz w:val="22"/>
    </w:rPr>
  </w:style>
  <w:style w:type="character" w:styleId="ListLabel14" w:customStyle="1">
    <w:name w:val="ListLabel 14"/>
    <w:qFormat/>
    <w:rPr>
      <w:rFonts w:ascii="Arial" w:hAnsi="Arial"/>
      <w:b w:val="false"/>
      <w:i w:val="false"/>
      <w:sz w:val="22"/>
    </w:rPr>
  </w:style>
  <w:style w:type="character" w:styleId="ListLabel15" w:customStyle="1">
    <w:name w:val="ListLabel 15"/>
    <w:qFormat/>
    <w:rPr>
      <w:rFonts w:ascii="Arial" w:hAnsi="Arial" w:cs="OpenSymbol;Arial Unicode MS"/>
      <w:b/>
      <w:sz w:val="22"/>
    </w:rPr>
  </w:style>
  <w:style w:type="character" w:styleId="ListLabel16" w:customStyle="1">
    <w:name w:val="ListLabel 16"/>
    <w:qFormat/>
    <w:rPr>
      <w:rFonts w:ascii="Arial" w:hAnsi="Arial"/>
      <w:b w:val="false"/>
      <w:i w:val="false"/>
      <w:sz w:val="22"/>
    </w:rPr>
  </w:style>
  <w:style w:type="character" w:styleId="ListLabel17" w:customStyle="1">
    <w:name w:val="ListLabel 17"/>
    <w:qFormat/>
    <w:rPr>
      <w:rFonts w:ascii="Arial" w:hAnsi="Arial" w:cs="OpenSymbol;Arial Unicode MS"/>
      <w:b/>
      <w:sz w:val="22"/>
    </w:rPr>
  </w:style>
  <w:style w:type="character" w:styleId="ListLabel18" w:customStyle="1">
    <w:name w:val="ListLabel 18"/>
    <w:qFormat/>
    <w:rPr>
      <w:rFonts w:ascii="Arial" w:hAnsi="Arial"/>
      <w:b w:val="false"/>
      <w:i w:val="false"/>
      <w:sz w:val="22"/>
    </w:rPr>
  </w:style>
  <w:style w:type="character" w:styleId="ListLabel19" w:customStyle="1">
    <w:name w:val="ListLabel 19"/>
    <w:qFormat/>
    <w:rPr>
      <w:rFonts w:ascii="Arial" w:hAnsi="Arial" w:cs="OpenSymbol;Arial Unicode MS"/>
      <w:b/>
      <w:sz w:val="22"/>
    </w:rPr>
  </w:style>
  <w:style w:type="character" w:styleId="ListLabel20" w:customStyle="1">
    <w:name w:val="ListLabel 20"/>
    <w:qFormat/>
    <w:rPr>
      <w:rFonts w:ascii="Arial" w:hAnsi="Arial"/>
      <w:b w:val="false"/>
      <w:i w:val="false"/>
      <w:sz w:val="22"/>
    </w:rPr>
  </w:style>
  <w:style w:type="character" w:styleId="ListLabel21" w:customStyle="1">
    <w:name w:val="ListLabel 21"/>
    <w:qFormat/>
    <w:rPr>
      <w:rFonts w:ascii="Arial" w:hAnsi="Arial" w:cs="OpenSymbol;Arial Unicode MS"/>
      <w:b/>
      <w:sz w:val="22"/>
    </w:rPr>
  </w:style>
  <w:style w:type="character" w:styleId="ListLabel22" w:customStyle="1">
    <w:name w:val="ListLabel 22"/>
    <w:qFormat/>
    <w:rPr>
      <w:rFonts w:ascii="Arial" w:hAnsi="Arial"/>
      <w:b w:val="false"/>
      <w:i w:val="false"/>
      <w:sz w:val="22"/>
    </w:rPr>
  </w:style>
  <w:style w:type="character" w:styleId="ListLabel23" w:customStyle="1">
    <w:name w:val="ListLabel 23"/>
    <w:qFormat/>
    <w:rPr>
      <w:rFonts w:ascii="Arial" w:hAnsi="Arial" w:cs="OpenSymbol;Arial Unicode MS"/>
      <w:b/>
      <w:sz w:val="22"/>
    </w:rPr>
  </w:style>
  <w:style w:type="character" w:styleId="ListLabel24" w:customStyle="1">
    <w:name w:val="ListLabel 24"/>
    <w:qFormat/>
    <w:rPr>
      <w:rFonts w:ascii="Arial" w:hAnsi="Arial"/>
      <w:b w:val="false"/>
      <w:i w:val="false"/>
      <w:sz w:val="22"/>
    </w:rPr>
  </w:style>
  <w:style w:type="character" w:styleId="ListLabel25" w:customStyle="1">
    <w:name w:val="ListLabel 25"/>
    <w:qFormat/>
    <w:rPr>
      <w:rFonts w:ascii="Arial" w:hAnsi="Arial" w:cs="OpenSymbol;Arial Unicode MS"/>
      <w:b/>
      <w:sz w:val="22"/>
    </w:rPr>
  </w:style>
  <w:style w:type="character" w:styleId="ListLabel26" w:customStyle="1">
    <w:name w:val="ListLabel 26"/>
    <w:qFormat/>
    <w:rPr>
      <w:rFonts w:ascii="Arial" w:hAnsi="Arial"/>
      <w:b w:val="false"/>
      <w:i w:val="false"/>
      <w:sz w:val="22"/>
    </w:rPr>
  </w:style>
  <w:style w:type="character" w:styleId="ListLabel27" w:customStyle="1">
    <w:name w:val="ListLabel 27"/>
    <w:qFormat/>
    <w:rPr>
      <w:rFonts w:ascii="Arial" w:hAnsi="Arial" w:cs="OpenSymbol;Arial Unicode MS"/>
      <w:b/>
      <w:sz w:val="22"/>
    </w:rPr>
  </w:style>
  <w:style w:type="character" w:styleId="ListLabel28" w:customStyle="1">
    <w:name w:val="ListLabel 28"/>
    <w:qFormat/>
    <w:rPr>
      <w:rFonts w:ascii="Arial" w:hAnsi="Arial"/>
      <w:b w:val="false"/>
      <w:i w:val="false"/>
      <w:sz w:val="22"/>
    </w:rPr>
  </w:style>
  <w:style w:type="character" w:styleId="ListLabel29" w:customStyle="1">
    <w:name w:val="ListLabel 29"/>
    <w:qFormat/>
    <w:rPr>
      <w:rFonts w:ascii="Arial" w:hAnsi="Arial" w:cs="OpenSymbol;Arial Unicode MS"/>
      <w:b/>
      <w:sz w:val="22"/>
    </w:rPr>
  </w:style>
  <w:style w:type="character" w:styleId="ListLabel30" w:customStyle="1">
    <w:name w:val="ListLabel 30"/>
    <w:qFormat/>
    <w:rPr>
      <w:rFonts w:ascii="Arial" w:hAnsi="Arial"/>
      <w:b w:val="false"/>
      <w:i w:val="false"/>
      <w:sz w:val="22"/>
    </w:rPr>
  </w:style>
  <w:style w:type="character" w:styleId="ListLabel31" w:customStyle="1">
    <w:name w:val="ListLabel 31"/>
    <w:qFormat/>
    <w:rPr>
      <w:rFonts w:ascii="Arial" w:hAnsi="Arial" w:cs="OpenSymbol;Arial Unicode MS"/>
      <w:b/>
      <w:sz w:val="22"/>
    </w:rPr>
  </w:style>
  <w:style w:type="character" w:styleId="ListLabel32" w:customStyle="1">
    <w:name w:val="ListLabel 32"/>
    <w:qFormat/>
    <w:rPr>
      <w:rFonts w:ascii="Arial" w:hAnsi="Arial"/>
      <w:b w:val="false"/>
      <w:i w:val="false"/>
      <w:sz w:val="22"/>
    </w:rPr>
  </w:style>
  <w:style w:type="character" w:styleId="ListLabel33" w:customStyle="1">
    <w:name w:val="ListLabel 33"/>
    <w:qFormat/>
    <w:rPr>
      <w:rFonts w:ascii="Arial" w:hAnsi="Arial" w:cs="OpenSymbol;Arial Unicode MS"/>
      <w:b/>
      <w:sz w:val="22"/>
    </w:rPr>
  </w:style>
  <w:style w:type="character" w:styleId="ListLabel34" w:customStyle="1">
    <w:name w:val="ListLabel 34"/>
    <w:qFormat/>
    <w:rPr>
      <w:rFonts w:ascii="Arial" w:hAnsi="Arial"/>
      <w:b w:val="false"/>
      <w:i w:val="false"/>
      <w:sz w:val="22"/>
    </w:rPr>
  </w:style>
  <w:style w:type="character" w:styleId="ListLabel35" w:customStyle="1">
    <w:name w:val="ListLabel 35"/>
    <w:qFormat/>
    <w:rPr>
      <w:rFonts w:ascii="Arial" w:hAnsi="Arial" w:cs="OpenSymbol;Arial Unicode MS"/>
      <w:b/>
      <w:sz w:val="22"/>
    </w:rPr>
  </w:style>
  <w:style w:type="character" w:styleId="ListLabel36" w:customStyle="1">
    <w:name w:val="ListLabel 36"/>
    <w:qFormat/>
    <w:rPr>
      <w:rFonts w:ascii="Arial" w:hAnsi="Arial"/>
      <w:b w:val="false"/>
      <w:i w:val="false"/>
      <w:sz w:val="22"/>
    </w:rPr>
  </w:style>
  <w:style w:type="character" w:styleId="ListLabel37" w:customStyle="1">
    <w:name w:val="ListLabel 37"/>
    <w:qFormat/>
    <w:rPr>
      <w:rFonts w:ascii="Arial" w:hAnsi="Arial" w:cs="OpenSymbol;Arial Unicode MS"/>
      <w:b/>
      <w:sz w:val="22"/>
    </w:rPr>
  </w:style>
  <w:style w:type="character" w:styleId="ListLabel38" w:customStyle="1">
    <w:name w:val="ListLabel 38"/>
    <w:qFormat/>
    <w:rPr>
      <w:rFonts w:ascii="Arial" w:hAnsi="Arial"/>
      <w:b w:val="false"/>
      <w:i w:val="false"/>
      <w:sz w:val="22"/>
    </w:rPr>
  </w:style>
  <w:style w:type="character" w:styleId="ListLabel39" w:customStyle="1">
    <w:name w:val="ListLabel 39"/>
    <w:qFormat/>
    <w:rPr>
      <w:rFonts w:ascii="Arial" w:hAnsi="Arial" w:cs="OpenSymbol;Arial Unicode MS"/>
      <w:b/>
      <w:sz w:val="22"/>
    </w:rPr>
  </w:style>
  <w:style w:type="character" w:styleId="ListLabel40" w:customStyle="1">
    <w:name w:val="ListLabel 40"/>
    <w:qFormat/>
    <w:rPr>
      <w:rFonts w:ascii="Arial" w:hAnsi="Arial"/>
      <w:b w:val="false"/>
      <w:i w:val="false"/>
      <w:sz w:val="22"/>
    </w:rPr>
  </w:style>
  <w:style w:type="character" w:styleId="ListLabel41" w:customStyle="1">
    <w:name w:val="ListLabel 41"/>
    <w:qFormat/>
    <w:rPr>
      <w:rFonts w:ascii="Arial" w:hAnsi="Arial" w:cs="OpenSymbol;Arial Unicode MS"/>
      <w:b/>
      <w:sz w:val="22"/>
    </w:rPr>
  </w:style>
  <w:style w:type="character" w:styleId="ListLabel42" w:customStyle="1">
    <w:name w:val="ListLabel 42"/>
    <w:qFormat/>
    <w:rPr>
      <w:rFonts w:ascii="Arial" w:hAnsi="Arial"/>
      <w:b w:val="false"/>
      <w:i w:val="false"/>
      <w:sz w:val="22"/>
    </w:rPr>
  </w:style>
  <w:style w:type="character" w:styleId="ListLabel43" w:customStyle="1">
    <w:name w:val="ListLabel 43"/>
    <w:qFormat/>
    <w:rPr>
      <w:rFonts w:ascii="Arial" w:hAnsi="Arial" w:cs="OpenSymbol;Arial Unicode MS"/>
      <w:b/>
      <w:sz w:val="22"/>
    </w:rPr>
  </w:style>
  <w:style w:type="character" w:styleId="ListLabel44" w:customStyle="1">
    <w:name w:val="ListLabel 44"/>
    <w:qFormat/>
    <w:rPr>
      <w:rFonts w:ascii="Arial" w:hAnsi="Arial"/>
      <w:b w:val="false"/>
      <w:i w:val="false"/>
      <w:sz w:val="22"/>
    </w:rPr>
  </w:style>
  <w:style w:type="character" w:styleId="ListLabel45" w:customStyle="1">
    <w:name w:val="ListLabel 45"/>
    <w:qFormat/>
    <w:rPr>
      <w:rFonts w:ascii="Arial" w:hAnsi="Arial" w:cs="OpenSymbol;Arial Unicode MS"/>
      <w:b/>
      <w:sz w:val="22"/>
    </w:rPr>
  </w:style>
  <w:style w:type="character" w:styleId="ListLabel46" w:customStyle="1">
    <w:name w:val="ListLabel 46"/>
    <w:qFormat/>
    <w:rPr>
      <w:rFonts w:ascii="Arial" w:hAnsi="Arial"/>
      <w:b w:val="false"/>
      <w:i w:val="false"/>
      <w:sz w:val="22"/>
    </w:rPr>
  </w:style>
  <w:style w:type="character" w:styleId="ListLabel47">
    <w:name w:val="ListLabel 47"/>
    <w:qFormat/>
    <w:rPr>
      <w:rFonts w:ascii="Arial" w:hAnsi="Arial" w:cs="OpenSymbol;Arial Unicode MS"/>
      <w:b/>
      <w:sz w:val="22"/>
    </w:rPr>
  </w:style>
  <w:style w:type="character" w:styleId="ListLabel48">
    <w:name w:val="ListLabel 48"/>
    <w:qFormat/>
    <w:rPr>
      <w:rFonts w:ascii="Arial" w:hAnsi="Arial"/>
      <w:b w:val="false"/>
      <w:i w:val="false"/>
      <w:sz w:val="22"/>
    </w:rPr>
  </w:style>
  <w:style w:type="character" w:styleId="ListLabel49">
    <w:name w:val="ListLabel 49"/>
    <w:qFormat/>
    <w:rPr>
      <w:rFonts w:ascii="Arial" w:hAnsi="Arial" w:cs="OpenSymbol;Arial Unicode MS"/>
      <w:b/>
      <w:sz w:val="22"/>
    </w:rPr>
  </w:style>
  <w:style w:type="character" w:styleId="ListLabel50">
    <w:name w:val="ListLabel 50"/>
    <w:qFormat/>
    <w:rPr>
      <w:rFonts w:ascii="Arial" w:hAnsi="Arial"/>
      <w:b w:val="false"/>
      <w:i w:val="false"/>
      <w:sz w:val="22"/>
    </w:rPr>
  </w:style>
  <w:style w:type="character" w:styleId="ListLabel51">
    <w:name w:val="ListLabel 51"/>
    <w:qFormat/>
    <w:rPr>
      <w:rFonts w:ascii="Arial" w:hAnsi="Arial" w:cs="OpenSymbol;Arial Unicode MS"/>
      <w:b/>
      <w:sz w:val="22"/>
    </w:rPr>
  </w:style>
  <w:style w:type="character" w:styleId="ListLabel52">
    <w:name w:val="ListLabel 52"/>
    <w:qFormat/>
    <w:rPr>
      <w:rFonts w:ascii="Arial" w:hAnsi="Arial"/>
      <w:b w:val="false"/>
      <w:i w:val="false"/>
      <w:sz w:val="22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1">
    <w:name w:val="WW_CharLFO12LVL1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Symbol" w:hAnsi="Symbol"/>
    </w:rPr>
  </w:style>
  <w:style w:type="character" w:styleId="RTFNum21">
    <w:name w:val="RTF_Num 2 1"/>
    <w:qFormat/>
    <w:rPr>
      <w:rFonts w:ascii="Symbol" w:hAnsi="Symbol" w:eastAsia="Symbol" w:cs="Symbol"/>
    </w:rPr>
  </w:style>
  <w:style w:type="character" w:styleId="Domylnaczcionkaakapitu">
    <w:name w:val="Domyślna czcionka akapitu"/>
    <w:qFormat/>
    <w:rPr/>
  </w:style>
  <w:style w:type="character" w:styleId="ListLabel53">
    <w:name w:val="ListLabel 53"/>
    <w:qFormat/>
    <w:rPr>
      <w:rFonts w:ascii="Arial" w:hAnsi="Arial" w:cs="OpenSymbol;Arial Unicode MS"/>
      <w:b/>
      <w:sz w:val="22"/>
    </w:rPr>
  </w:style>
  <w:style w:type="character" w:styleId="ListLabel54">
    <w:name w:val="ListLabel 54"/>
    <w:qFormat/>
    <w:rPr>
      <w:rFonts w:ascii="Arial" w:hAnsi="Arial"/>
      <w:b w:val="false"/>
      <w:i w:val="false"/>
      <w:sz w:val="22"/>
    </w:rPr>
  </w:style>
  <w:style w:type="character" w:styleId="ListLabel55">
    <w:name w:val="ListLabel 55"/>
    <w:qFormat/>
    <w:rPr>
      <w:rFonts w:ascii="Arial" w:hAnsi="Arial" w:cs="OpenSymbol;Arial Unicode MS"/>
      <w:b/>
      <w:sz w:val="22"/>
    </w:rPr>
  </w:style>
  <w:style w:type="character" w:styleId="ListLabel56">
    <w:name w:val="ListLabel 56"/>
    <w:qFormat/>
    <w:rPr>
      <w:rFonts w:ascii="Arial" w:hAnsi="Arial"/>
      <w:b w:val="false"/>
      <w:i w:val="false"/>
      <w:sz w:val="22"/>
    </w:rPr>
  </w:style>
  <w:style w:type="character" w:styleId="ListLabel57">
    <w:name w:val="ListLabel 57"/>
    <w:qFormat/>
    <w:rPr>
      <w:rFonts w:ascii="Arial" w:hAnsi="Arial" w:cs="OpenSymbol;Arial Unicode MS"/>
      <w:b/>
      <w:sz w:val="22"/>
    </w:rPr>
  </w:style>
  <w:style w:type="character" w:styleId="ListLabel58">
    <w:name w:val="ListLabel 58"/>
    <w:qFormat/>
    <w:rPr>
      <w:rFonts w:ascii="Arial" w:hAnsi="Arial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LibreOffice/5.2.1.2$Windows_x86 LibreOffice_project/31dd62db80d4e60af04904455ec9c9219178d620</Application>
  <Pages>7</Pages>
  <Words>2600</Words>
  <Characters>17176</Characters>
  <CharactersWithSpaces>20932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2020-03-02T11:37:00Z</dcterms:created>
  <dc:creator>Justyna</dc:creator>
  <dc:description/>
  <dc:language>pl-PL</dc:language>
  <cp:lastModifiedBy/>
  <cp:lastPrinted>2018-03-27T12:28:00Z</cp:lastPrinted>
  <dcterms:modified xsi:type="dcterms:W3CDTF">2021-06-14T12:58:47Z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