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16/ZP/2020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Dostawa do magazyny Apteki szpitalnej produktów leczniczych oraz wyrobów medycznych</w:t>
      </w:r>
      <w:r>
        <w:rPr>
          <w:rFonts w:ascii="Arial" w:hAnsi="Arial"/>
          <w:b/>
          <w:bCs w:val="false"/>
          <w:sz w:val="22"/>
          <w:szCs w:val="22"/>
          <w:highlight w:val="white"/>
          <w:u w:val="none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Adres skrzynki ePUAP - </w:t>
      </w:r>
      <w:r>
        <w:rPr>
          <w:rFonts w:ascii="Arial" w:hAnsi="Arial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4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</w:r>
    </w:p>
    <w:p>
      <w:pPr>
        <w:pStyle w:val="Tretekstu"/>
        <w:ind w:left="720" w:right="0" w:hanging="0"/>
        <w:rPr/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 xml:space="preserve">* niepotrzebne skreślić 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12 miesięcy od daty obowiązywania umowy.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Oświadczamy,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że niniejsza oferta zawiera na stronach nr od _____do_____ informacje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stanowiące 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tajęmnicę przedsiębiorstwa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w  rozumieniu przepisów o zwalczaniu nieuczciwej konkurencji.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fals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tru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LibreOffice/5.2.1.2$Windows_x86 LibreOffice_project/31dd62db80d4e60af04904455ec9c9219178d620</Application>
  <Pages>4</Pages>
  <Words>454</Words>
  <Characters>4027</Characters>
  <CharactersWithSpaces>4889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2020-06-08T10:24:30Z</dcterms:modified>
  <cp:revision>10</cp:revision>
  <dc:subject/>
  <dc:title/>
</cp:coreProperties>
</file>